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23DB3" w14:textId="77777777" w:rsidR="00297AFA" w:rsidRPr="004D6367" w:rsidRDefault="00297AFA" w:rsidP="4923CE6A">
      <w:pPr>
        <w:jc w:val="center"/>
        <w:rPr>
          <w:rFonts w:ascii="Verdana" w:hAnsi="Verdana"/>
          <w:sz w:val="20"/>
          <w:szCs w:val="20"/>
        </w:rPr>
      </w:pPr>
    </w:p>
    <w:p w14:paraId="149FEB30" w14:textId="312EE48A" w:rsidR="00CF627D" w:rsidRPr="00075DE0" w:rsidRDefault="00CF627D" w:rsidP="00CF627D">
      <w:pPr>
        <w:jc w:val="center"/>
        <w:rPr>
          <w:rFonts w:ascii="Verdana" w:hAnsi="Verdana"/>
          <w:b/>
          <w:bCs/>
          <w:sz w:val="20"/>
          <w:szCs w:val="20"/>
        </w:rPr>
      </w:pPr>
      <w:r w:rsidRPr="00075DE0">
        <w:rPr>
          <w:rFonts w:ascii="Verdana" w:hAnsi="Verdana"/>
          <w:b/>
          <w:bCs/>
          <w:sz w:val="20"/>
          <w:szCs w:val="20"/>
        </w:rPr>
        <w:t>REGLAS DE DILIGENCIAMIENTO</w:t>
      </w:r>
    </w:p>
    <w:p w14:paraId="560E4BA1" w14:textId="77777777" w:rsidR="00CF627D" w:rsidRPr="00075DE0" w:rsidRDefault="00CF627D" w:rsidP="00CF627D">
      <w:pPr>
        <w:jc w:val="center"/>
        <w:rPr>
          <w:rFonts w:ascii="Verdana" w:hAnsi="Verdana"/>
          <w:b/>
          <w:bCs/>
          <w:sz w:val="20"/>
          <w:szCs w:val="20"/>
        </w:rPr>
      </w:pPr>
    </w:p>
    <w:p w14:paraId="0B163C58" w14:textId="6DB1CABD" w:rsidR="00CF627D" w:rsidRPr="00075DE0" w:rsidRDefault="00CF627D" w:rsidP="00847BFA">
      <w:pPr>
        <w:jc w:val="center"/>
        <w:rPr>
          <w:rFonts w:ascii="Verdana" w:hAnsi="Verdana"/>
          <w:b/>
          <w:bCs/>
          <w:sz w:val="20"/>
          <w:szCs w:val="20"/>
        </w:rPr>
      </w:pPr>
      <w:r w:rsidRPr="00075DE0">
        <w:rPr>
          <w:rFonts w:ascii="Verdana" w:hAnsi="Verdana"/>
          <w:b/>
          <w:bCs/>
          <w:sz w:val="20"/>
          <w:szCs w:val="20"/>
        </w:rPr>
        <w:t>Módulo Único de Reporte de Información de Cartera (MURIC)</w:t>
      </w:r>
    </w:p>
    <w:p w14:paraId="6F15A40E" w14:textId="3E1C6696" w:rsidR="00CF627D" w:rsidRPr="00075DE0" w:rsidRDefault="00CF627D" w:rsidP="00CF627D">
      <w:pPr>
        <w:jc w:val="center"/>
        <w:rPr>
          <w:rFonts w:ascii="Verdana" w:hAnsi="Verdana"/>
          <w:b/>
          <w:bCs/>
          <w:sz w:val="20"/>
          <w:szCs w:val="20"/>
        </w:rPr>
      </w:pPr>
      <w:r w:rsidRPr="00075DE0">
        <w:rPr>
          <w:rFonts w:ascii="Verdana" w:hAnsi="Verdana"/>
          <w:b/>
          <w:bCs/>
          <w:sz w:val="20"/>
          <w:szCs w:val="20"/>
        </w:rPr>
        <w:t>Reporte MURIC-001</w:t>
      </w:r>
    </w:p>
    <w:p w14:paraId="2C438DBF" w14:textId="77777777" w:rsidR="00CF627D" w:rsidRPr="00075DE0" w:rsidRDefault="00CF627D" w:rsidP="00CF627D">
      <w:pPr>
        <w:jc w:val="center"/>
        <w:rPr>
          <w:rFonts w:ascii="Verdana" w:hAnsi="Verdana"/>
          <w:b/>
          <w:bCs/>
          <w:sz w:val="20"/>
          <w:szCs w:val="20"/>
        </w:rPr>
      </w:pPr>
    </w:p>
    <w:p w14:paraId="74025C41" w14:textId="77777777" w:rsidR="00CF627D" w:rsidRDefault="00CF627D" w:rsidP="00CF627D">
      <w:pPr>
        <w:jc w:val="center"/>
        <w:rPr>
          <w:rFonts w:ascii="Verdana" w:hAnsi="Verdana"/>
          <w:b/>
          <w:bCs/>
          <w:sz w:val="20"/>
          <w:szCs w:val="20"/>
        </w:rPr>
      </w:pPr>
    </w:p>
    <w:p w14:paraId="36A19827" w14:textId="25042955" w:rsidR="00CF627D" w:rsidRPr="00075DE0" w:rsidRDefault="0016790C" w:rsidP="00CF627D">
      <w:pPr>
        <w:jc w:val="center"/>
        <w:rPr>
          <w:rFonts w:ascii="Verdana" w:hAnsi="Verdana"/>
          <w:b/>
          <w:bCs/>
          <w:sz w:val="20"/>
          <w:szCs w:val="20"/>
        </w:rPr>
      </w:pPr>
      <w:r w:rsidRPr="00075DE0">
        <w:rPr>
          <w:rFonts w:ascii="Verdana" w:hAnsi="Verdana"/>
          <w:b/>
          <w:bCs/>
          <w:sz w:val="20"/>
          <w:szCs w:val="20"/>
        </w:rPr>
        <w:t>Información Básica</w:t>
      </w:r>
    </w:p>
    <w:p w14:paraId="2E2E24E5" w14:textId="77777777" w:rsidR="00CF627D" w:rsidRDefault="00CF627D" w:rsidP="00CF627D">
      <w:pPr>
        <w:jc w:val="center"/>
        <w:rPr>
          <w:rFonts w:ascii="Verdana" w:hAnsi="Verdana"/>
          <w:b/>
          <w:bCs/>
          <w:sz w:val="20"/>
          <w:szCs w:val="20"/>
        </w:rPr>
      </w:pPr>
    </w:p>
    <w:p w14:paraId="6EB85B69" w14:textId="56B63D67" w:rsidR="00574F26" w:rsidRPr="0043635A" w:rsidRDefault="00574F26" w:rsidP="00574F26">
      <w:pPr>
        <w:jc w:val="both"/>
        <w:rPr>
          <w:rFonts w:ascii="Verdana" w:hAnsi="Verdana"/>
          <w:b/>
          <w:bCs/>
          <w:sz w:val="20"/>
          <w:szCs w:val="20"/>
        </w:rPr>
      </w:pPr>
      <w:r>
        <w:rPr>
          <w:rFonts w:ascii="Verdana" w:hAnsi="Verdana"/>
          <w:b/>
          <w:bCs/>
          <w:sz w:val="20"/>
          <w:szCs w:val="20"/>
        </w:rPr>
        <w:t>Objetivo:</w:t>
      </w:r>
    </w:p>
    <w:p w14:paraId="249DC6E5" w14:textId="77777777" w:rsidR="00574F26" w:rsidRPr="0043635A" w:rsidRDefault="00574F26" w:rsidP="0043635A">
      <w:pPr>
        <w:ind w:left="2124" w:hanging="2124"/>
        <w:jc w:val="center"/>
        <w:rPr>
          <w:rFonts w:ascii="Verdana" w:hAnsi="Verdana"/>
          <w:sz w:val="20"/>
          <w:szCs w:val="20"/>
        </w:rPr>
      </w:pPr>
    </w:p>
    <w:p w14:paraId="4B82D1F1" w14:textId="016C1E98" w:rsidR="00574F26" w:rsidRPr="00075DE0" w:rsidRDefault="00574F26" w:rsidP="00574F26">
      <w:pPr>
        <w:jc w:val="both"/>
        <w:rPr>
          <w:rFonts w:ascii="Verdana" w:hAnsi="Verdana" w:cs="Arial"/>
          <w:sz w:val="20"/>
          <w:szCs w:val="20"/>
        </w:rPr>
      </w:pPr>
      <w:r w:rsidRPr="00075DE0">
        <w:rPr>
          <w:rFonts w:ascii="Verdana" w:hAnsi="Verdana" w:cs="Arial"/>
          <w:sz w:val="20"/>
          <w:szCs w:val="20"/>
        </w:rPr>
        <w:t>Capturar la información de los deudores, los créditos y los cambios y variaciones que experimenta cada crédito</w:t>
      </w:r>
      <w:r w:rsidR="00E81B2B">
        <w:rPr>
          <w:rFonts w:ascii="Verdana" w:hAnsi="Verdana" w:cs="Arial"/>
          <w:sz w:val="20"/>
          <w:szCs w:val="20"/>
        </w:rPr>
        <w:t xml:space="preserve"> de forma mensual</w:t>
      </w:r>
      <w:r w:rsidRPr="00075DE0">
        <w:rPr>
          <w:rFonts w:ascii="Verdana" w:hAnsi="Verdana" w:cs="Arial"/>
          <w:sz w:val="20"/>
          <w:szCs w:val="20"/>
        </w:rPr>
        <w:t xml:space="preserve">, </w:t>
      </w:r>
      <w:r w:rsidR="00D3302D">
        <w:rPr>
          <w:rFonts w:ascii="Verdana" w:hAnsi="Verdana" w:cs="Arial"/>
          <w:sz w:val="20"/>
          <w:szCs w:val="20"/>
        </w:rPr>
        <w:t xml:space="preserve">con el fin de obtener información </w:t>
      </w:r>
      <w:r w:rsidR="00D600A5">
        <w:rPr>
          <w:rFonts w:ascii="Verdana" w:hAnsi="Verdana" w:cs="Arial"/>
          <w:sz w:val="20"/>
          <w:szCs w:val="20"/>
        </w:rPr>
        <w:t>granular</w:t>
      </w:r>
      <w:r w:rsidR="009163DD">
        <w:rPr>
          <w:rFonts w:ascii="Verdana" w:hAnsi="Verdana" w:cs="Arial"/>
          <w:sz w:val="20"/>
          <w:szCs w:val="20"/>
        </w:rPr>
        <w:t xml:space="preserve"> y</w:t>
      </w:r>
      <w:r w:rsidR="00D600A5">
        <w:rPr>
          <w:rFonts w:ascii="Verdana" w:hAnsi="Verdana" w:cs="Arial"/>
          <w:sz w:val="20"/>
          <w:szCs w:val="20"/>
        </w:rPr>
        <w:t xml:space="preserve"> </w:t>
      </w:r>
      <w:r w:rsidRPr="00075DE0">
        <w:rPr>
          <w:rFonts w:ascii="Verdana" w:hAnsi="Verdana" w:cs="Arial"/>
          <w:sz w:val="20"/>
          <w:szCs w:val="20"/>
        </w:rPr>
        <w:t>una visión completa de</w:t>
      </w:r>
      <w:r w:rsidR="00E86696">
        <w:rPr>
          <w:rFonts w:ascii="Verdana" w:hAnsi="Verdana" w:cs="Arial"/>
          <w:sz w:val="20"/>
          <w:szCs w:val="20"/>
        </w:rPr>
        <w:t>l comportamiento</w:t>
      </w:r>
      <w:r w:rsidR="002B04A6">
        <w:rPr>
          <w:rFonts w:ascii="Verdana" w:hAnsi="Verdana" w:cs="Arial"/>
          <w:sz w:val="20"/>
          <w:szCs w:val="20"/>
        </w:rPr>
        <w:t xml:space="preserve"> de</w:t>
      </w:r>
      <w:r w:rsidRPr="00075DE0">
        <w:rPr>
          <w:rFonts w:ascii="Verdana" w:hAnsi="Verdana" w:cs="Arial"/>
          <w:sz w:val="20"/>
          <w:szCs w:val="20"/>
        </w:rPr>
        <w:t xml:space="preserve"> cada operación crediticia</w:t>
      </w:r>
      <w:r w:rsidR="00F44CB4">
        <w:rPr>
          <w:rFonts w:ascii="Verdana" w:hAnsi="Verdana" w:cs="Arial"/>
          <w:sz w:val="20"/>
          <w:szCs w:val="20"/>
        </w:rPr>
        <w:t>.</w:t>
      </w:r>
    </w:p>
    <w:p w14:paraId="6E4E1459" w14:textId="77777777" w:rsidR="00574F26" w:rsidRDefault="00574F26" w:rsidP="00574F26">
      <w:pPr>
        <w:rPr>
          <w:rFonts w:ascii="Verdana" w:hAnsi="Verdana"/>
          <w:b/>
          <w:bCs/>
          <w:sz w:val="20"/>
          <w:szCs w:val="20"/>
        </w:rPr>
      </w:pPr>
    </w:p>
    <w:p w14:paraId="0CB7B691" w14:textId="7B677F6C" w:rsidR="00E1561C" w:rsidRDefault="00E1561C" w:rsidP="00E1561C">
      <w:pPr>
        <w:jc w:val="both"/>
        <w:rPr>
          <w:rFonts w:ascii="Verdana" w:hAnsi="Verdana"/>
          <w:b/>
          <w:bCs/>
          <w:sz w:val="20"/>
          <w:szCs w:val="20"/>
        </w:rPr>
      </w:pPr>
      <w:r>
        <w:rPr>
          <w:rFonts w:ascii="Verdana" w:hAnsi="Verdana"/>
          <w:b/>
          <w:bCs/>
          <w:sz w:val="20"/>
          <w:szCs w:val="20"/>
        </w:rPr>
        <w:t>Códigos de los insumos:</w:t>
      </w:r>
    </w:p>
    <w:p w14:paraId="7EE3A2A0" w14:textId="77777777" w:rsidR="00E1561C" w:rsidRDefault="00E1561C" w:rsidP="00E1561C">
      <w:pPr>
        <w:jc w:val="center"/>
        <w:rPr>
          <w:rFonts w:ascii="Verdana" w:hAnsi="Verdana"/>
          <w:b/>
          <w:bCs/>
          <w:sz w:val="20"/>
          <w:szCs w:val="20"/>
        </w:rPr>
      </w:pPr>
    </w:p>
    <w:p w14:paraId="7A2D2F17" w14:textId="51EE6EEB" w:rsidR="00E1561C" w:rsidRPr="00643E6F" w:rsidRDefault="00E1561C" w:rsidP="00E1561C">
      <w:pPr>
        <w:jc w:val="both"/>
        <w:rPr>
          <w:rFonts w:ascii="Verdana" w:hAnsi="Verdana" w:cs="Arial"/>
          <w:sz w:val="20"/>
          <w:szCs w:val="20"/>
        </w:rPr>
      </w:pPr>
      <w:r w:rsidRPr="00643E6F">
        <w:rPr>
          <w:rFonts w:ascii="Verdana" w:hAnsi="Verdana" w:cs="Arial"/>
          <w:sz w:val="20"/>
          <w:szCs w:val="20"/>
        </w:rPr>
        <w:t xml:space="preserve">MURIC-001-001: </w:t>
      </w:r>
      <w:r w:rsidR="00663431" w:rsidRPr="00643E6F">
        <w:rPr>
          <w:rFonts w:ascii="Verdana" w:hAnsi="Verdana" w:cs="Arial"/>
          <w:sz w:val="20"/>
          <w:szCs w:val="20"/>
        </w:rPr>
        <w:t>Información</w:t>
      </w:r>
      <w:r w:rsidR="00C7241F" w:rsidRPr="00643E6F">
        <w:rPr>
          <w:rFonts w:ascii="Verdana" w:hAnsi="Verdana" w:cs="Arial"/>
          <w:sz w:val="20"/>
          <w:szCs w:val="20"/>
        </w:rPr>
        <w:t xml:space="preserve"> general</w:t>
      </w:r>
      <w:r w:rsidR="00663431" w:rsidRPr="00643E6F">
        <w:rPr>
          <w:rFonts w:ascii="Verdana" w:hAnsi="Verdana" w:cs="Arial"/>
          <w:sz w:val="20"/>
          <w:szCs w:val="20"/>
        </w:rPr>
        <w:t xml:space="preserve"> </w:t>
      </w:r>
      <w:r w:rsidR="006E0315" w:rsidRPr="00643E6F">
        <w:rPr>
          <w:rFonts w:ascii="Verdana" w:hAnsi="Verdana" w:cs="Arial"/>
          <w:sz w:val="20"/>
          <w:szCs w:val="20"/>
        </w:rPr>
        <w:t>de los créditos</w:t>
      </w:r>
    </w:p>
    <w:p w14:paraId="327470CE" w14:textId="108B3D89" w:rsidR="00E1561C" w:rsidRPr="00643E6F" w:rsidRDefault="00E1561C" w:rsidP="00E1561C">
      <w:pPr>
        <w:jc w:val="both"/>
        <w:rPr>
          <w:rFonts w:ascii="Verdana" w:hAnsi="Verdana" w:cs="Arial"/>
          <w:sz w:val="20"/>
          <w:szCs w:val="20"/>
        </w:rPr>
      </w:pPr>
      <w:r w:rsidRPr="00643E6F">
        <w:rPr>
          <w:rFonts w:ascii="Verdana" w:hAnsi="Verdana" w:cs="Arial"/>
          <w:sz w:val="20"/>
          <w:szCs w:val="20"/>
        </w:rPr>
        <w:t>MURIC-001-002:</w:t>
      </w:r>
      <w:r w:rsidRPr="00643E6F">
        <w:rPr>
          <w:rFonts w:ascii="Verdana" w:hAnsi="Verdana"/>
          <w:sz w:val="20"/>
          <w:szCs w:val="20"/>
        </w:rPr>
        <w:t xml:space="preserve"> </w:t>
      </w:r>
      <w:r w:rsidR="00663431" w:rsidRPr="00643E6F">
        <w:rPr>
          <w:rFonts w:ascii="Verdana" w:hAnsi="Verdana" w:cs="Arial"/>
          <w:sz w:val="20"/>
          <w:szCs w:val="20"/>
        </w:rPr>
        <w:t>Atributos de los créditos</w:t>
      </w:r>
      <w:r w:rsidR="00CA6A72">
        <w:rPr>
          <w:rFonts w:ascii="Verdana" w:hAnsi="Verdana" w:cs="Arial"/>
          <w:sz w:val="20"/>
          <w:szCs w:val="20"/>
        </w:rPr>
        <w:t xml:space="preserve"> y deudores</w:t>
      </w:r>
    </w:p>
    <w:p w14:paraId="6735BB8F" w14:textId="4155AC00" w:rsidR="00574F26" w:rsidRDefault="00E1561C" w:rsidP="00663431">
      <w:pPr>
        <w:rPr>
          <w:rFonts w:ascii="Verdana" w:hAnsi="Verdana"/>
          <w:bCs/>
          <w:sz w:val="20"/>
          <w:szCs w:val="20"/>
        </w:rPr>
      </w:pPr>
      <w:r w:rsidRPr="00C16EE5">
        <w:rPr>
          <w:rFonts w:ascii="Verdana" w:hAnsi="Verdana" w:cs="Arial"/>
          <w:sz w:val="20"/>
          <w:szCs w:val="20"/>
        </w:rPr>
        <w:t>MURIC-001-003:</w:t>
      </w:r>
      <w:r w:rsidRPr="00C16EE5">
        <w:rPr>
          <w:rFonts w:ascii="Verdana" w:hAnsi="Verdana"/>
          <w:b/>
          <w:bCs/>
          <w:sz w:val="20"/>
          <w:szCs w:val="20"/>
        </w:rPr>
        <w:t xml:space="preserve"> </w:t>
      </w:r>
      <w:r w:rsidR="00482E06">
        <w:rPr>
          <w:rFonts w:ascii="Verdana" w:hAnsi="Verdana"/>
          <w:bCs/>
          <w:sz w:val="20"/>
          <w:szCs w:val="20"/>
        </w:rPr>
        <w:t>M</w:t>
      </w:r>
      <w:r w:rsidR="00663431" w:rsidRPr="00C16EE5">
        <w:rPr>
          <w:rFonts w:ascii="Verdana" w:hAnsi="Verdana"/>
          <w:bCs/>
          <w:sz w:val="20"/>
          <w:szCs w:val="20"/>
        </w:rPr>
        <w:t xml:space="preserve">ovimientos de </w:t>
      </w:r>
      <w:r w:rsidR="0029646C">
        <w:rPr>
          <w:rFonts w:ascii="Verdana" w:hAnsi="Verdana"/>
          <w:bCs/>
          <w:sz w:val="20"/>
          <w:szCs w:val="20"/>
        </w:rPr>
        <w:t>c</w:t>
      </w:r>
      <w:r w:rsidR="00663431" w:rsidRPr="00C16EE5">
        <w:rPr>
          <w:rFonts w:ascii="Verdana" w:hAnsi="Verdana"/>
          <w:bCs/>
          <w:sz w:val="20"/>
          <w:szCs w:val="20"/>
        </w:rPr>
        <w:t>artera</w:t>
      </w:r>
    </w:p>
    <w:p w14:paraId="7E904997" w14:textId="77777777" w:rsidR="00663431" w:rsidRDefault="00663431" w:rsidP="00663431">
      <w:pPr>
        <w:rPr>
          <w:rFonts w:ascii="Verdana" w:hAnsi="Verdana"/>
          <w:b/>
          <w:bCs/>
          <w:sz w:val="20"/>
          <w:szCs w:val="20"/>
        </w:rPr>
      </w:pPr>
    </w:p>
    <w:p w14:paraId="7EB371B5" w14:textId="4C4C181A" w:rsidR="000529BE" w:rsidRDefault="000529BE" w:rsidP="000529BE">
      <w:pPr>
        <w:jc w:val="both"/>
        <w:rPr>
          <w:rFonts w:ascii="Verdana" w:hAnsi="Verdana"/>
          <w:b/>
          <w:bCs/>
          <w:sz w:val="20"/>
          <w:szCs w:val="20"/>
        </w:rPr>
      </w:pPr>
      <w:r>
        <w:rPr>
          <w:rFonts w:ascii="Verdana" w:hAnsi="Verdana"/>
          <w:b/>
          <w:bCs/>
          <w:sz w:val="20"/>
          <w:szCs w:val="20"/>
        </w:rPr>
        <w:t>Tipo de entidades a los que aplica:</w:t>
      </w:r>
    </w:p>
    <w:p w14:paraId="07E2B326" w14:textId="6B4B03AB" w:rsidR="009902B6" w:rsidRDefault="009902B6" w:rsidP="00115F53">
      <w:pPr>
        <w:ind w:left="708" w:hanging="708"/>
        <w:jc w:val="both"/>
        <w:rPr>
          <w:rFonts w:ascii="Verdana" w:hAnsi="Verdana" w:cs="Arial"/>
          <w:sz w:val="20"/>
          <w:szCs w:val="20"/>
        </w:rPr>
      </w:pPr>
    </w:p>
    <w:tbl>
      <w:tblPr>
        <w:tblW w:w="7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6120"/>
      </w:tblGrid>
      <w:tr w:rsidR="004B7DCE" w:rsidRPr="004B7DCE" w14:paraId="33EB2A56" w14:textId="77777777" w:rsidTr="00D06A97">
        <w:trPr>
          <w:trHeight w:val="290"/>
          <w:jc w:val="center"/>
        </w:trPr>
        <w:tc>
          <w:tcPr>
            <w:tcW w:w="1200" w:type="dxa"/>
            <w:vAlign w:val="center"/>
            <w:hideMark/>
          </w:tcPr>
          <w:p w14:paraId="7B2BB003"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1</w:t>
            </w:r>
          </w:p>
        </w:tc>
        <w:tc>
          <w:tcPr>
            <w:tcW w:w="6120" w:type="dxa"/>
            <w:vAlign w:val="center"/>
            <w:hideMark/>
          </w:tcPr>
          <w:p w14:paraId="560C60D2"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 xml:space="preserve">Establecimientos bancarios </w:t>
            </w:r>
          </w:p>
        </w:tc>
      </w:tr>
      <w:tr w:rsidR="004B7DCE" w:rsidRPr="004B7DCE" w14:paraId="1F216929" w14:textId="77777777" w:rsidTr="00D06A97">
        <w:trPr>
          <w:trHeight w:val="290"/>
          <w:jc w:val="center"/>
        </w:trPr>
        <w:tc>
          <w:tcPr>
            <w:tcW w:w="1200" w:type="dxa"/>
            <w:vAlign w:val="center"/>
            <w:hideMark/>
          </w:tcPr>
          <w:p w14:paraId="5FC3FB1C"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2</w:t>
            </w:r>
          </w:p>
        </w:tc>
        <w:tc>
          <w:tcPr>
            <w:tcW w:w="6120" w:type="dxa"/>
            <w:vAlign w:val="center"/>
            <w:hideMark/>
          </w:tcPr>
          <w:p w14:paraId="7C854127"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 xml:space="preserve">Corporaciones financieras </w:t>
            </w:r>
          </w:p>
        </w:tc>
      </w:tr>
      <w:tr w:rsidR="004B7DCE" w:rsidRPr="004B7DCE" w14:paraId="2D3CAD68" w14:textId="77777777" w:rsidTr="00D06A97">
        <w:trPr>
          <w:trHeight w:val="290"/>
          <w:jc w:val="center"/>
        </w:trPr>
        <w:tc>
          <w:tcPr>
            <w:tcW w:w="1200" w:type="dxa"/>
            <w:vAlign w:val="center"/>
            <w:hideMark/>
          </w:tcPr>
          <w:p w14:paraId="5FCC0443"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4</w:t>
            </w:r>
          </w:p>
        </w:tc>
        <w:tc>
          <w:tcPr>
            <w:tcW w:w="6120" w:type="dxa"/>
            <w:vAlign w:val="center"/>
            <w:hideMark/>
          </w:tcPr>
          <w:p w14:paraId="30CC6B49"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Compañías de financiamiento</w:t>
            </w:r>
          </w:p>
        </w:tc>
      </w:tr>
      <w:tr w:rsidR="004B7DCE" w:rsidRPr="004B7DCE" w14:paraId="35995559" w14:textId="77777777" w:rsidTr="00D06A97">
        <w:trPr>
          <w:trHeight w:val="1080"/>
          <w:jc w:val="center"/>
        </w:trPr>
        <w:tc>
          <w:tcPr>
            <w:tcW w:w="1200" w:type="dxa"/>
            <w:vAlign w:val="center"/>
            <w:hideMark/>
          </w:tcPr>
          <w:p w14:paraId="0BD5391D"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5</w:t>
            </w:r>
          </w:p>
        </w:tc>
        <w:tc>
          <w:tcPr>
            <w:tcW w:w="6120" w:type="dxa"/>
            <w:vAlign w:val="center"/>
            <w:hideMark/>
          </w:tcPr>
          <w:p w14:paraId="0DFCC835" w14:textId="69B93D70" w:rsidR="004B7DCE" w:rsidRPr="004B7DCE" w:rsidRDefault="0093254F" w:rsidP="004B7DCE">
            <w:pPr>
              <w:jc w:val="both"/>
              <w:rPr>
                <w:rFonts w:ascii="Verdana" w:eastAsia="Times New Roman" w:hAnsi="Verdana"/>
                <w:color w:val="000000"/>
                <w:sz w:val="20"/>
                <w:szCs w:val="20"/>
                <w:lang w:val="es-419" w:eastAsia="es-419"/>
              </w:rPr>
            </w:pPr>
            <w:r>
              <w:rPr>
                <w:rFonts w:ascii="Verdana" w:eastAsia="Times New Roman" w:hAnsi="Verdana" w:cs="Arial"/>
                <w:color w:val="000000"/>
                <w:sz w:val="20"/>
                <w:szCs w:val="20"/>
                <w:lang w:eastAsia="es-419"/>
              </w:rPr>
              <w:t>S</w:t>
            </w:r>
            <w:r w:rsidRPr="0093254F">
              <w:rPr>
                <w:rFonts w:ascii="Verdana" w:eastAsia="Times New Roman" w:hAnsi="Verdana" w:cs="Arial"/>
                <w:color w:val="000000"/>
                <w:sz w:val="20"/>
                <w:szCs w:val="20"/>
                <w:lang w:eastAsia="es-419"/>
              </w:rPr>
              <w:t xml:space="preserve">ociedades fiduciarias </w:t>
            </w:r>
            <w:r w:rsidR="007B5B10">
              <w:rPr>
                <w:rFonts w:ascii="Verdana" w:eastAsia="Times New Roman" w:hAnsi="Verdana" w:cs="Arial"/>
                <w:color w:val="000000"/>
                <w:sz w:val="20"/>
                <w:szCs w:val="20"/>
                <w:lang w:eastAsia="es-419"/>
              </w:rPr>
              <w:t>por cuenta de</w:t>
            </w:r>
            <w:r w:rsidRPr="0093254F">
              <w:rPr>
                <w:rFonts w:ascii="Verdana" w:eastAsia="Times New Roman" w:hAnsi="Verdana" w:cs="Arial"/>
                <w:color w:val="000000"/>
                <w:sz w:val="20"/>
                <w:szCs w:val="20"/>
                <w:lang w:eastAsia="es-419"/>
              </w:rPr>
              <w:t xml:space="preserve">: (i) negocios fiduciarios </w:t>
            </w:r>
            <w:r w:rsidR="007861B6">
              <w:rPr>
                <w:rFonts w:ascii="Verdana" w:eastAsia="Times New Roman" w:hAnsi="Verdana" w:cs="Arial"/>
                <w:color w:val="000000"/>
                <w:sz w:val="20"/>
                <w:szCs w:val="20"/>
                <w:lang w:eastAsia="es-419"/>
              </w:rPr>
              <w:t xml:space="preserve">que </w:t>
            </w:r>
            <w:r w:rsidRPr="0093254F">
              <w:rPr>
                <w:rFonts w:ascii="Verdana" w:eastAsia="Times New Roman" w:hAnsi="Verdana" w:cs="Arial"/>
                <w:color w:val="000000"/>
                <w:sz w:val="20"/>
                <w:szCs w:val="20"/>
                <w:lang w:eastAsia="es-419"/>
              </w:rPr>
              <w:t xml:space="preserve">administren cartera de crédito originada </w:t>
            </w:r>
            <w:r w:rsidR="007B5B10">
              <w:rPr>
                <w:rFonts w:ascii="Verdana" w:eastAsia="Times New Roman" w:hAnsi="Verdana" w:cs="Arial"/>
                <w:color w:val="000000"/>
                <w:sz w:val="20"/>
                <w:szCs w:val="20"/>
                <w:lang w:eastAsia="es-419"/>
              </w:rPr>
              <w:t xml:space="preserve">por </w:t>
            </w:r>
            <w:r w:rsidR="00545B8D">
              <w:rPr>
                <w:rFonts w:ascii="Verdana" w:eastAsia="Times New Roman" w:hAnsi="Verdana" w:cs="Arial"/>
                <w:color w:val="000000"/>
                <w:sz w:val="20"/>
                <w:szCs w:val="20"/>
                <w:lang w:eastAsia="es-419"/>
              </w:rPr>
              <w:t>establecimientos de crédito</w:t>
            </w:r>
            <w:r w:rsidRPr="0093254F">
              <w:rPr>
                <w:rFonts w:ascii="Verdana" w:eastAsia="Times New Roman" w:hAnsi="Verdana" w:cs="Arial"/>
                <w:color w:val="000000"/>
                <w:sz w:val="20"/>
                <w:szCs w:val="20"/>
                <w:lang w:eastAsia="es-419"/>
              </w:rPr>
              <w:t xml:space="preserve">; (ii) negocios constituidos como resultado de procesos de titularización </w:t>
            </w:r>
            <w:r w:rsidR="00674A99">
              <w:rPr>
                <w:rFonts w:ascii="Verdana" w:eastAsia="Times New Roman" w:hAnsi="Verdana" w:cs="Arial"/>
                <w:color w:val="000000"/>
                <w:sz w:val="20"/>
                <w:szCs w:val="20"/>
                <w:lang w:eastAsia="es-419"/>
              </w:rPr>
              <w:t xml:space="preserve">que </w:t>
            </w:r>
            <w:r w:rsidR="00FD1F9C">
              <w:rPr>
                <w:rFonts w:ascii="Verdana" w:eastAsia="Times New Roman" w:hAnsi="Verdana" w:cs="Arial"/>
                <w:color w:val="000000"/>
                <w:sz w:val="20"/>
                <w:szCs w:val="20"/>
                <w:lang w:eastAsia="es-419"/>
              </w:rPr>
              <w:t>administren</w:t>
            </w:r>
            <w:r w:rsidRPr="0093254F">
              <w:rPr>
                <w:rFonts w:ascii="Verdana" w:eastAsia="Times New Roman" w:hAnsi="Verdana" w:cs="Arial"/>
                <w:color w:val="000000"/>
                <w:sz w:val="20"/>
                <w:szCs w:val="20"/>
                <w:lang w:eastAsia="es-419"/>
              </w:rPr>
              <w:t xml:space="preserve"> cartera</w:t>
            </w:r>
            <w:r w:rsidR="00FD6223">
              <w:rPr>
                <w:rFonts w:ascii="Verdana" w:eastAsia="Times New Roman" w:hAnsi="Verdana" w:cs="Arial"/>
                <w:color w:val="000000"/>
                <w:sz w:val="20"/>
                <w:szCs w:val="20"/>
                <w:lang w:eastAsia="es-419"/>
              </w:rPr>
              <w:t xml:space="preserve"> de crédito</w:t>
            </w:r>
            <w:r w:rsidRPr="0093254F">
              <w:rPr>
                <w:rFonts w:ascii="Verdana" w:eastAsia="Times New Roman" w:hAnsi="Verdana" w:cs="Arial"/>
                <w:color w:val="000000"/>
                <w:sz w:val="20"/>
                <w:szCs w:val="20"/>
                <w:lang w:eastAsia="es-419"/>
              </w:rPr>
              <w:t xml:space="preserve"> originada </w:t>
            </w:r>
            <w:r w:rsidR="009E4AA2">
              <w:rPr>
                <w:rFonts w:ascii="Verdana" w:eastAsia="Times New Roman" w:hAnsi="Verdana" w:cs="Arial"/>
                <w:color w:val="000000"/>
                <w:sz w:val="20"/>
                <w:szCs w:val="20"/>
                <w:lang w:eastAsia="es-419"/>
              </w:rPr>
              <w:t>por establecimientos de crédito</w:t>
            </w:r>
            <w:r w:rsidR="00A330BB">
              <w:rPr>
                <w:rFonts w:ascii="Verdana" w:eastAsia="Times New Roman" w:hAnsi="Verdana" w:cs="Arial"/>
                <w:color w:val="000000"/>
                <w:sz w:val="20"/>
                <w:szCs w:val="20"/>
                <w:lang w:eastAsia="es-419"/>
              </w:rPr>
              <w:t xml:space="preserve">; </w:t>
            </w:r>
            <w:r w:rsidR="00F60123">
              <w:rPr>
                <w:rFonts w:ascii="Verdana" w:eastAsia="Times New Roman" w:hAnsi="Verdana" w:cs="Arial"/>
                <w:color w:val="000000"/>
                <w:sz w:val="20"/>
                <w:szCs w:val="20"/>
                <w:lang w:eastAsia="es-419"/>
              </w:rPr>
              <w:t xml:space="preserve">y/o </w:t>
            </w:r>
            <w:r w:rsidR="00986AB2">
              <w:rPr>
                <w:rFonts w:ascii="Verdana" w:eastAsia="Times New Roman" w:hAnsi="Verdana" w:cs="Arial"/>
                <w:color w:val="000000"/>
                <w:sz w:val="20"/>
                <w:szCs w:val="20"/>
                <w:lang w:eastAsia="es-419"/>
              </w:rPr>
              <w:t xml:space="preserve">(iii) </w:t>
            </w:r>
            <w:r w:rsidR="00F60123">
              <w:rPr>
                <w:rFonts w:ascii="Verdana" w:eastAsia="Times New Roman" w:hAnsi="Verdana" w:cs="Arial"/>
                <w:color w:val="000000"/>
                <w:sz w:val="20"/>
                <w:szCs w:val="20"/>
                <w:lang w:eastAsia="es-419"/>
              </w:rPr>
              <w:t>f</w:t>
            </w:r>
            <w:r w:rsidR="00A330BB" w:rsidRPr="004B7DCE">
              <w:rPr>
                <w:rFonts w:ascii="Verdana" w:eastAsia="Times New Roman" w:hAnsi="Verdana" w:cs="Arial"/>
                <w:color w:val="000000"/>
                <w:sz w:val="20"/>
                <w:szCs w:val="20"/>
                <w:lang w:eastAsia="es-419"/>
              </w:rPr>
              <w:t>ondos de capital privado que originen cartera</w:t>
            </w:r>
            <w:r w:rsidR="00A330BB">
              <w:rPr>
                <w:rFonts w:ascii="Verdana" w:eastAsia="Times New Roman" w:hAnsi="Verdana" w:cs="Arial"/>
                <w:color w:val="000000"/>
                <w:sz w:val="20"/>
                <w:szCs w:val="20"/>
                <w:lang w:eastAsia="es-419"/>
              </w:rPr>
              <w:t xml:space="preserve">. </w:t>
            </w:r>
          </w:p>
        </w:tc>
      </w:tr>
      <w:tr w:rsidR="004B7DCE" w:rsidRPr="004B7DCE" w14:paraId="2386DA93" w14:textId="77777777" w:rsidTr="00D06A97">
        <w:trPr>
          <w:trHeight w:val="290"/>
          <w:jc w:val="center"/>
        </w:trPr>
        <w:tc>
          <w:tcPr>
            <w:tcW w:w="1200" w:type="dxa"/>
            <w:vAlign w:val="center"/>
            <w:hideMark/>
          </w:tcPr>
          <w:p w14:paraId="566C04BB"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8</w:t>
            </w:r>
          </w:p>
        </w:tc>
        <w:tc>
          <w:tcPr>
            <w:tcW w:w="6120" w:type="dxa"/>
            <w:vAlign w:val="center"/>
            <w:hideMark/>
          </w:tcPr>
          <w:p w14:paraId="08FE6C21"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 xml:space="preserve">Organismos cooperativos de grado superior </w:t>
            </w:r>
          </w:p>
        </w:tc>
      </w:tr>
      <w:tr w:rsidR="004B7DCE" w:rsidRPr="004B7DCE" w14:paraId="219CC846" w14:textId="77777777" w:rsidTr="00D06A97">
        <w:trPr>
          <w:trHeight w:val="810"/>
          <w:jc w:val="center"/>
        </w:trPr>
        <w:tc>
          <w:tcPr>
            <w:tcW w:w="1200" w:type="dxa"/>
            <w:vAlign w:val="center"/>
            <w:hideMark/>
          </w:tcPr>
          <w:p w14:paraId="077BEFCE"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13</w:t>
            </w:r>
          </w:p>
        </w:tc>
        <w:tc>
          <w:tcPr>
            <w:tcW w:w="6120" w:type="dxa"/>
            <w:vAlign w:val="center"/>
            <w:hideMark/>
          </w:tcPr>
          <w:p w14:paraId="38AB605E"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Compañías de seguros generales que tengan cartera de crédito en desarrollo de sus operaciones autorizadas</w:t>
            </w:r>
          </w:p>
        </w:tc>
      </w:tr>
      <w:tr w:rsidR="004B7DCE" w:rsidRPr="004B7DCE" w14:paraId="768DAEA7" w14:textId="77777777" w:rsidTr="00D06A97">
        <w:trPr>
          <w:trHeight w:val="810"/>
          <w:jc w:val="center"/>
        </w:trPr>
        <w:tc>
          <w:tcPr>
            <w:tcW w:w="1200" w:type="dxa"/>
            <w:vAlign w:val="center"/>
            <w:hideMark/>
          </w:tcPr>
          <w:p w14:paraId="16BBDBE8"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14</w:t>
            </w:r>
          </w:p>
        </w:tc>
        <w:tc>
          <w:tcPr>
            <w:tcW w:w="6120" w:type="dxa"/>
            <w:vAlign w:val="center"/>
            <w:hideMark/>
          </w:tcPr>
          <w:p w14:paraId="3FF008C8"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Compañías de seguros de vida que tengan cartera de crédito en desarrollo de sus operaciones autorizadas</w:t>
            </w:r>
          </w:p>
        </w:tc>
      </w:tr>
      <w:tr w:rsidR="004B7DCE" w:rsidRPr="004B7DCE" w14:paraId="0238980C" w14:textId="77777777" w:rsidTr="00D06A97">
        <w:trPr>
          <w:trHeight w:val="810"/>
          <w:jc w:val="center"/>
        </w:trPr>
        <w:tc>
          <w:tcPr>
            <w:tcW w:w="1200" w:type="dxa"/>
            <w:vAlign w:val="center"/>
            <w:hideMark/>
          </w:tcPr>
          <w:p w14:paraId="3472403E"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15</w:t>
            </w:r>
          </w:p>
        </w:tc>
        <w:tc>
          <w:tcPr>
            <w:tcW w:w="6120" w:type="dxa"/>
            <w:vAlign w:val="center"/>
            <w:hideMark/>
          </w:tcPr>
          <w:p w14:paraId="1E1762DE"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Cooperativas de seguros que tengan cartera de crédito en desarrollo de sus operaciones autorizadas</w:t>
            </w:r>
          </w:p>
        </w:tc>
      </w:tr>
      <w:tr w:rsidR="004B7DCE" w:rsidRPr="004B7DCE" w14:paraId="085DED40" w14:textId="77777777" w:rsidTr="00D06A97">
        <w:trPr>
          <w:trHeight w:val="290"/>
          <w:jc w:val="center"/>
        </w:trPr>
        <w:tc>
          <w:tcPr>
            <w:tcW w:w="1200" w:type="dxa"/>
            <w:vAlign w:val="center"/>
            <w:hideMark/>
          </w:tcPr>
          <w:p w14:paraId="502DBD14"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22</w:t>
            </w:r>
          </w:p>
        </w:tc>
        <w:tc>
          <w:tcPr>
            <w:tcW w:w="6120" w:type="dxa"/>
            <w:vAlign w:val="center"/>
            <w:hideMark/>
          </w:tcPr>
          <w:p w14:paraId="05BB955E"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 xml:space="preserve">Instituciones oficiales especiales </w:t>
            </w:r>
          </w:p>
        </w:tc>
      </w:tr>
      <w:tr w:rsidR="004B7DCE" w:rsidRPr="004B7DCE" w14:paraId="349EC7D3" w14:textId="77777777" w:rsidTr="00D06A97">
        <w:trPr>
          <w:trHeight w:val="290"/>
          <w:jc w:val="center"/>
        </w:trPr>
        <w:tc>
          <w:tcPr>
            <w:tcW w:w="1200" w:type="dxa"/>
            <w:vAlign w:val="center"/>
            <w:hideMark/>
          </w:tcPr>
          <w:p w14:paraId="16636946"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32</w:t>
            </w:r>
          </w:p>
        </w:tc>
        <w:tc>
          <w:tcPr>
            <w:tcW w:w="6120" w:type="dxa"/>
            <w:vAlign w:val="center"/>
            <w:hideMark/>
          </w:tcPr>
          <w:p w14:paraId="7ECA5EAB"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Entidades cooperativas de carácter financiero</w:t>
            </w:r>
          </w:p>
        </w:tc>
      </w:tr>
      <w:tr w:rsidR="004B7DCE" w:rsidRPr="004B7DCE" w14:paraId="72DDA12A" w14:textId="77777777" w:rsidTr="00D06A97">
        <w:trPr>
          <w:trHeight w:val="1080"/>
          <w:jc w:val="center"/>
        </w:trPr>
        <w:tc>
          <w:tcPr>
            <w:tcW w:w="1200" w:type="dxa"/>
            <w:vAlign w:val="center"/>
            <w:hideMark/>
          </w:tcPr>
          <w:p w14:paraId="4A64AD50"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85</w:t>
            </w:r>
          </w:p>
        </w:tc>
        <w:tc>
          <w:tcPr>
            <w:tcW w:w="6120" w:type="dxa"/>
            <w:vAlign w:val="center"/>
            <w:hideMark/>
          </w:tcPr>
          <w:p w14:paraId="1359B0BB" w14:textId="77777777"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Sociedades comisionistas de bolsa de valores que realicen la actividad de financiación de valores, o por cuenta de fondos de capital privado que originen cartera</w:t>
            </w:r>
          </w:p>
        </w:tc>
      </w:tr>
      <w:tr w:rsidR="004B7DCE" w:rsidRPr="004B7DCE" w14:paraId="639C1C58" w14:textId="77777777" w:rsidTr="00D06A97">
        <w:trPr>
          <w:trHeight w:val="820"/>
          <w:jc w:val="center"/>
        </w:trPr>
        <w:tc>
          <w:tcPr>
            <w:tcW w:w="1200" w:type="dxa"/>
            <w:vAlign w:val="center"/>
            <w:hideMark/>
          </w:tcPr>
          <w:p w14:paraId="3B7CC10B" w14:textId="77777777" w:rsidR="004B7DCE" w:rsidRPr="004B7DCE" w:rsidRDefault="004B7DCE" w:rsidP="004B7DCE">
            <w:pPr>
              <w:jc w:val="center"/>
              <w:rPr>
                <w:rFonts w:ascii="Verdana" w:eastAsia="Times New Roman" w:hAnsi="Verdana"/>
                <w:color w:val="000000"/>
                <w:sz w:val="20"/>
                <w:szCs w:val="20"/>
                <w:lang w:val="es-419" w:eastAsia="es-419"/>
              </w:rPr>
            </w:pPr>
            <w:r w:rsidRPr="004B7DCE">
              <w:rPr>
                <w:rFonts w:ascii="Verdana" w:eastAsia="Times New Roman" w:hAnsi="Verdana" w:cs="Arial"/>
                <w:color w:val="000000"/>
                <w:sz w:val="20"/>
                <w:szCs w:val="20"/>
                <w:lang w:eastAsia="es-419"/>
              </w:rPr>
              <w:t>600</w:t>
            </w:r>
          </w:p>
        </w:tc>
        <w:tc>
          <w:tcPr>
            <w:tcW w:w="6120" w:type="dxa"/>
            <w:vAlign w:val="center"/>
            <w:hideMark/>
          </w:tcPr>
          <w:p w14:paraId="3C069558" w14:textId="48FC24D1" w:rsidR="004B7DCE" w:rsidRPr="004B7DCE" w:rsidRDefault="004B7DCE" w:rsidP="004B7DCE">
            <w:pPr>
              <w:jc w:val="both"/>
              <w:rPr>
                <w:rFonts w:ascii="Verdana" w:eastAsia="Times New Roman" w:hAnsi="Verdana"/>
                <w:color w:val="000000"/>
                <w:sz w:val="20"/>
                <w:szCs w:val="20"/>
                <w:lang w:val="es-419" w:eastAsia="es-419"/>
              </w:rPr>
            </w:pPr>
            <w:r w:rsidRPr="004B7DCE">
              <w:rPr>
                <w:rFonts w:ascii="Verdana" w:eastAsia="Times New Roman" w:hAnsi="Verdana"/>
                <w:color w:val="000000"/>
                <w:sz w:val="20"/>
                <w:szCs w:val="20"/>
                <w:lang w:val="es-419" w:eastAsia="es-419"/>
              </w:rPr>
              <w:t>Sociedades titularizadoras por cuenta de las universalidades conformadas por cartera de crédito</w:t>
            </w:r>
            <w:r w:rsidR="005278DE">
              <w:rPr>
                <w:rFonts w:ascii="Verdana" w:eastAsia="Times New Roman" w:hAnsi="Verdana"/>
                <w:color w:val="000000"/>
                <w:sz w:val="20"/>
                <w:szCs w:val="20"/>
                <w:lang w:val="es-419" w:eastAsia="es-419"/>
              </w:rPr>
              <w:t xml:space="preserve"> </w:t>
            </w:r>
          </w:p>
        </w:tc>
      </w:tr>
    </w:tbl>
    <w:p w14:paraId="1ED6DE0C" w14:textId="77777777" w:rsidR="009902B6" w:rsidRDefault="009902B6" w:rsidP="00115F53">
      <w:pPr>
        <w:ind w:left="708" w:hanging="708"/>
        <w:jc w:val="both"/>
        <w:rPr>
          <w:rFonts w:ascii="Verdana" w:hAnsi="Verdana" w:cs="Arial"/>
          <w:sz w:val="20"/>
          <w:szCs w:val="20"/>
        </w:rPr>
      </w:pPr>
    </w:p>
    <w:p w14:paraId="52EE2C69" w14:textId="5132856C" w:rsidR="00DA0271" w:rsidRDefault="00DA0271" w:rsidP="00DA0271">
      <w:pPr>
        <w:jc w:val="both"/>
        <w:rPr>
          <w:rFonts w:ascii="Verdana" w:hAnsi="Verdana"/>
          <w:b/>
          <w:bCs/>
          <w:sz w:val="20"/>
          <w:szCs w:val="20"/>
        </w:rPr>
      </w:pPr>
      <w:r>
        <w:rPr>
          <w:rFonts w:ascii="Verdana" w:hAnsi="Verdana"/>
          <w:b/>
          <w:bCs/>
          <w:sz w:val="20"/>
          <w:szCs w:val="20"/>
        </w:rPr>
        <w:t>Periodicidad de reporte y fecha de corte de la información:</w:t>
      </w:r>
    </w:p>
    <w:p w14:paraId="162A8732" w14:textId="77777777" w:rsidR="00DA0271" w:rsidRDefault="00DA0271" w:rsidP="00DA0271">
      <w:pPr>
        <w:jc w:val="center"/>
        <w:rPr>
          <w:rFonts w:ascii="Verdana" w:hAnsi="Verdana"/>
          <w:b/>
          <w:bCs/>
          <w:sz w:val="20"/>
          <w:szCs w:val="20"/>
        </w:rPr>
      </w:pPr>
    </w:p>
    <w:p w14:paraId="789154D7" w14:textId="11474C88" w:rsidR="00DA0271" w:rsidRPr="00075DE0" w:rsidRDefault="00BE2B83" w:rsidP="00DA0271">
      <w:pPr>
        <w:jc w:val="both"/>
        <w:rPr>
          <w:rFonts w:ascii="Verdana" w:hAnsi="Verdana" w:cs="Arial"/>
          <w:sz w:val="20"/>
          <w:szCs w:val="20"/>
        </w:rPr>
      </w:pPr>
      <w:r>
        <w:rPr>
          <w:rFonts w:ascii="Verdana" w:hAnsi="Verdana" w:cs="Arial"/>
          <w:sz w:val="20"/>
          <w:szCs w:val="20"/>
        </w:rPr>
        <w:t xml:space="preserve">Periodicidad mensual </w:t>
      </w:r>
      <w:r w:rsidR="00921A2E">
        <w:rPr>
          <w:rFonts w:ascii="Verdana" w:hAnsi="Verdana" w:cs="Arial"/>
          <w:sz w:val="20"/>
          <w:szCs w:val="20"/>
        </w:rPr>
        <w:t>con información a corte del último día calendario del mes</w:t>
      </w:r>
      <w:r w:rsidR="00F44CB4">
        <w:rPr>
          <w:rFonts w:ascii="Verdana" w:hAnsi="Verdana" w:cs="Arial"/>
          <w:sz w:val="20"/>
          <w:szCs w:val="20"/>
        </w:rPr>
        <w:t>.</w:t>
      </w:r>
    </w:p>
    <w:p w14:paraId="45451756" w14:textId="77777777" w:rsidR="00574F26" w:rsidRDefault="00574F26" w:rsidP="00CF627D">
      <w:pPr>
        <w:jc w:val="center"/>
        <w:rPr>
          <w:rFonts w:ascii="Verdana" w:hAnsi="Verdana"/>
          <w:b/>
          <w:bCs/>
          <w:sz w:val="20"/>
          <w:szCs w:val="20"/>
        </w:rPr>
      </w:pPr>
    </w:p>
    <w:p w14:paraId="0D4B1E2E" w14:textId="61408E47" w:rsidR="00DA0271" w:rsidRDefault="00DA0271" w:rsidP="00DA0271">
      <w:pPr>
        <w:jc w:val="both"/>
        <w:rPr>
          <w:rFonts w:ascii="Verdana" w:hAnsi="Verdana"/>
          <w:b/>
          <w:bCs/>
          <w:sz w:val="20"/>
          <w:szCs w:val="20"/>
        </w:rPr>
      </w:pPr>
      <w:r>
        <w:rPr>
          <w:rFonts w:ascii="Verdana" w:hAnsi="Verdana"/>
          <w:b/>
          <w:bCs/>
          <w:sz w:val="20"/>
          <w:szCs w:val="20"/>
        </w:rPr>
        <w:lastRenderedPageBreak/>
        <w:t>Fecha de reporte:</w:t>
      </w:r>
    </w:p>
    <w:p w14:paraId="15D187C8" w14:textId="77777777" w:rsidR="00DA0271" w:rsidRDefault="00DA0271" w:rsidP="00DA0271">
      <w:pPr>
        <w:jc w:val="center"/>
        <w:rPr>
          <w:rFonts w:ascii="Verdana" w:hAnsi="Verdana"/>
          <w:b/>
          <w:bCs/>
          <w:sz w:val="20"/>
          <w:szCs w:val="20"/>
        </w:rPr>
      </w:pPr>
    </w:p>
    <w:p w14:paraId="5189C821" w14:textId="40104486" w:rsidR="00574F26" w:rsidRDefault="00921A2E" w:rsidP="00B607A7">
      <w:pPr>
        <w:jc w:val="both"/>
        <w:rPr>
          <w:rFonts w:ascii="Verdana" w:hAnsi="Verdana"/>
          <w:b/>
          <w:bCs/>
          <w:sz w:val="20"/>
          <w:szCs w:val="20"/>
        </w:rPr>
      </w:pPr>
      <w:r w:rsidRPr="00075DE0">
        <w:rPr>
          <w:rFonts w:ascii="Verdana" w:hAnsi="Verdana" w:cs="Arial"/>
          <w:sz w:val="20"/>
          <w:szCs w:val="20"/>
        </w:rPr>
        <w:t xml:space="preserve">Dentro de los </w:t>
      </w:r>
      <w:r w:rsidR="00FA3A83">
        <w:rPr>
          <w:rFonts w:ascii="Verdana" w:hAnsi="Verdana" w:cs="Arial"/>
          <w:sz w:val="20"/>
          <w:szCs w:val="20"/>
        </w:rPr>
        <w:t>10</w:t>
      </w:r>
      <w:r w:rsidRPr="00075DE0">
        <w:rPr>
          <w:rFonts w:ascii="Verdana" w:hAnsi="Verdana" w:cs="Arial"/>
          <w:sz w:val="20"/>
          <w:szCs w:val="20"/>
        </w:rPr>
        <w:t xml:space="preserve"> días calendario siguientes a la fecha límite </w:t>
      </w:r>
      <w:r>
        <w:rPr>
          <w:rFonts w:ascii="Verdana" w:hAnsi="Verdana" w:cs="Arial"/>
          <w:sz w:val="20"/>
          <w:szCs w:val="20"/>
        </w:rPr>
        <w:t xml:space="preserve">para la </w:t>
      </w:r>
      <w:r w:rsidRPr="00075DE0">
        <w:rPr>
          <w:rFonts w:ascii="Verdana" w:hAnsi="Verdana" w:cs="Arial"/>
          <w:sz w:val="20"/>
          <w:szCs w:val="20"/>
        </w:rPr>
        <w:t>transmisión de</w:t>
      </w:r>
      <w:r w:rsidR="00BA61D0">
        <w:rPr>
          <w:rFonts w:ascii="Verdana" w:hAnsi="Verdana" w:cs="Arial"/>
          <w:sz w:val="20"/>
          <w:szCs w:val="20"/>
        </w:rPr>
        <w:t xml:space="preserve"> </w:t>
      </w:r>
      <w:r w:rsidRPr="00075DE0">
        <w:rPr>
          <w:rFonts w:ascii="Verdana" w:hAnsi="Verdana" w:cs="Arial"/>
          <w:sz w:val="20"/>
          <w:szCs w:val="20"/>
        </w:rPr>
        <w:t>l</w:t>
      </w:r>
      <w:r w:rsidR="00BA61D0">
        <w:rPr>
          <w:rFonts w:ascii="Verdana" w:hAnsi="Verdana" w:cs="Arial"/>
          <w:sz w:val="20"/>
          <w:szCs w:val="20"/>
        </w:rPr>
        <w:t>a información financiera del</w:t>
      </w:r>
      <w:r w:rsidRPr="00075DE0">
        <w:rPr>
          <w:rFonts w:ascii="Verdana" w:hAnsi="Verdana" w:cs="Arial"/>
          <w:sz w:val="20"/>
          <w:szCs w:val="20"/>
        </w:rPr>
        <w:t xml:space="preserve"> </w:t>
      </w:r>
      <w:r>
        <w:rPr>
          <w:rFonts w:ascii="Verdana" w:hAnsi="Verdana" w:cs="Arial"/>
          <w:sz w:val="20"/>
          <w:szCs w:val="20"/>
        </w:rPr>
        <w:t>Catálogo Único de Información Financiera con Fines de Supervisión (</w:t>
      </w:r>
      <w:r w:rsidRPr="00075DE0">
        <w:rPr>
          <w:rFonts w:ascii="Verdana" w:hAnsi="Verdana" w:cs="Arial"/>
          <w:sz w:val="20"/>
          <w:szCs w:val="20"/>
        </w:rPr>
        <w:t>CUIF</w:t>
      </w:r>
      <w:r>
        <w:rPr>
          <w:rFonts w:ascii="Verdana" w:hAnsi="Verdana" w:cs="Arial"/>
          <w:sz w:val="20"/>
          <w:szCs w:val="20"/>
        </w:rPr>
        <w:t>)</w:t>
      </w:r>
      <w:r w:rsidR="005F5C02">
        <w:rPr>
          <w:rFonts w:ascii="Verdana" w:hAnsi="Verdana" w:cs="Arial"/>
          <w:sz w:val="20"/>
          <w:szCs w:val="20"/>
        </w:rPr>
        <w:t xml:space="preserve"> de </w:t>
      </w:r>
      <w:r w:rsidR="00DC11D9">
        <w:rPr>
          <w:rFonts w:ascii="Verdana" w:hAnsi="Verdana" w:cs="Arial"/>
          <w:sz w:val="20"/>
          <w:szCs w:val="20"/>
        </w:rPr>
        <w:t xml:space="preserve">periodicidad </w:t>
      </w:r>
      <w:r w:rsidR="005F5C02">
        <w:rPr>
          <w:rFonts w:ascii="Verdana" w:hAnsi="Verdana" w:cs="Arial"/>
          <w:sz w:val="20"/>
          <w:szCs w:val="20"/>
        </w:rPr>
        <w:t>mensual</w:t>
      </w:r>
      <w:r w:rsidRPr="00075DE0">
        <w:rPr>
          <w:rFonts w:ascii="Verdana" w:hAnsi="Verdana" w:cs="Arial"/>
          <w:sz w:val="20"/>
          <w:szCs w:val="20"/>
        </w:rPr>
        <w:t>.</w:t>
      </w:r>
    </w:p>
    <w:p w14:paraId="1600F92F" w14:textId="77777777" w:rsidR="00921A2E" w:rsidRDefault="00921A2E" w:rsidP="00BE2B83">
      <w:pPr>
        <w:jc w:val="both"/>
        <w:rPr>
          <w:rFonts w:ascii="Verdana" w:hAnsi="Verdana"/>
          <w:b/>
          <w:bCs/>
          <w:sz w:val="20"/>
          <w:szCs w:val="20"/>
        </w:rPr>
      </w:pPr>
    </w:p>
    <w:p w14:paraId="34D14C2D" w14:textId="47122DC4" w:rsidR="00BE2B83" w:rsidRDefault="00BE2B83" w:rsidP="00BE2B83">
      <w:pPr>
        <w:jc w:val="both"/>
        <w:rPr>
          <w:rFonts w:ascii="Verdana" w:hAnsi="Verdana"/>
          <w:b/>
          <w:bCs/>
          <w:sz w:val="20"/>
          <w:szCs w:val="20"/>
        </w:rPr>
      </w:pPr>
      <w:r>
        <w:rPr>
          <w:rFonts w:ascii="Verdana" w:hAnsi="Verdana"/>
          <w:b/>
          <w:bCs/>
          <w:sz w:val="20"/>
          <w:szCs w:val="20"/>
        </w:rPr>
        <w:t>Documento</w:t>
      </w:r>
      <w:r w:rsidR="006E4449">
        <w:rPr>
          <w:rFonts w:ascii="Verdana" w:hAnsi="Verdana"/>
          <w:b/>
          <w:bCs/>
          <w:sz w:val="20"/>
          <w:szCs w:val="20"/>
        </w:rPr>
        <w:t>s</w:t>
      </w:r>
      <w:r>
        <w:rPr>
          <w:rFonts w:ascii="Verdana" w:hAnsi="Verdana"/>
          <w:b/>
          <w:bCs/>
          <w:sz w:val="20"/>
          <w:szCs w:val="20"/>
        </w:rPr>
        <w:t xml:space="preserve"> técnico</w:t>
      </w:r>
      <w:r w:rsidR="006E4449">
        <w:rPr>
          <w:rFonts w:ascii="Verdana" w:hAnsi="Verdana"/>
          <w:b/>
          <w:bCs/>
          <w:sz w:val="20"/>
          <w:szCs w:val="20"/>
        </w:rPr>
        <w:t>s</w:t>
      </w:r>
      <w:r>
        <w:rPr>
          <w:rFonts w:ascii="Verdana" w:hAnsi="Verdana"/>
          <w:b/>
          <w:bCs/>
          <w:sz w:val="20"/>
          <w:szCs w:val="20"/>
        </w:rPr>
        <w:t>:</w:t>
      </w:r>
    </w:p>
    <w:p w14:paraId="5C6437C8" w14:textId="77777777" w:rsidR="00BE2B83" w:rsidRDefault="00BE2B83" w:rsidP="00BE2B83">
      <w:pPr>
        <w:jc w:val="center"/>
        <w:rPr>
          <w:rFonts w:ascii="Verdana" w:hAnsi="Verdana"/>
          <w:b/>
          <w:bCs/>
          <w:sz w:val="20"/>
          <w:szCs w:val="20"/>
        </w:rPr>
      </w:pPr>
    </w:p>
    <w:p w14:paraId="55165E78" w14:textId="4CF0CD9C" w:rsidR="002E1146" w:rsidRPr="00E46665" w:rsidRDefault="00220BF8" w:rsidP="002E1146">
      <w:pPr>
        <w:jc w:val="both"/>
        <w:rPr>
          <w:rFonts w:ascii="Verdana" w:hAnsi="Verdana" w:cs="Arial"/>
          <w:sz w:val="20"/>
          <w:szCs w:val="20"/>
        </w:rPr>
      </w:pPr>
      <w:r w:rsidRPr="00E46665">
        <w:rPr>
          <w:rFonts w:ascii="Verdana" w:hAnsi="Verdana" w:cs="Arial"/>
          <w:sz w:val="20"/>
          <w:szCs w:val="20"/>
        </w:rPr>
        <w:t>DOCUMENTO TECNICO SERVICIO CAPTURA INFORMACIÓN MURIC</w:t>
      </w:r>
    </w:p>
    <w:p w14:paraId="0E21F515" w14:textId="77777777" w:rsidR="00574F26" w:rsidRDefault="00574F26" w:rsidP="00CF627D">
      <w:pPr>
        <w:jc w:val="center"/>
        <w:rPr>
          <w:rFonts w:ascii="Verdana" w:hAnsi="Verdana"/>
          <w:b/>
          <w:bCs/>
          <w:sz w:val="20"/>
          <w:szCs w:val="20"/>
        </w:rPr>
      </w:pPr>
    </w:p>
    <w:p w14:paraId="61595906" w14:textId="4C245947" w:rsidR="00BE2B83" w:rsidRDefault="00BE2B83" w:rsidP="00BE2B83">
      <w:pPr>
        <w:jc w:val="both"/>
        <w:rPr>
          <w:rFonts w:ascii="Verdana" w:hAnsi="Verdana"/>
          <w:b/>
          <w:bCs/>
          <w:sz w:val="20"/>
          <w:szCs w:val="20"/>
        </w:rPr>
      </w:pPr>
      <w:r>
        <w:rPr>
          <w:rFonts w:ascii="Verdana" w:hAnsi="Verdana"/>
          <w:b/>
          <w:bCs/>
          <w:sz w:val="20"/>
          <w:szCs w:val="20"/>
        </w:rPr>
        <w:t>Medio de envío:</w:t>
      </w:r>
    </w:p>
    <w:p w14:paraId="3BB92BCC" w14:textId="77777777" w:rsidR="00BE2B83" w:rsidRDefault="00BE2B83" w:rsidP="00BE2B83">
      <w:pPr>
        <w:jc w:val="center"/>
        <w:rPr>
          <w:rFonts w:ascii="Verdana" w:hAnsi="Verdana"/>
          <w:b/>
          <w:bCs/>
          <w:sz w:val="20"/>
          <w:szCs w:val="20"/>
        </w:rPr>
      </w:pPr>
    </w:p>
    <w:p w14:paraId="49D20B2C" w14:textId="41FD09FE" w:rsidR="00BE2B83" w:rsidRDefault="00663431" w:rsidP="00BE2B83">
      <w:pPr>
        <w:jc w:val="both"/>
        <w:rPr>
          <w:rFonts w:ascii="Verdana" w:hAnsi="Verdana" w:cs="Arial"/>
          <w:sz w:val="20"/>
          <w:szCs w:val="20"/>
        </w:rPr>
      </w:pPr>
      <w:r>
        <w:rPr>
          <w:rFonts w:ascii="Verdana" w:hAnsi="Verdana" w:cs="Arial"/>
          <w:sz w:val="20"/>
          <w:szCs w:val="20"/>
        </w:rPr>
        <w:t>API</w:t>
      </w:r>
    </w:p>
    <w:p w14:paraId="0C1A9C9A" w14:textId="57F4A35B" w:rsidR="00A33CCB" w:rsidRDefault="00E76E57" w:rsidP="00BE2B83">
      <w:pPr>
        <w:jc w:val="both"/>
        <w:rPr>
          <w:rFonts w:ascii="Verdana" w:hAnsi="Verdana" w:cs="Arial"/>
          <w:sz w:val="20"/>
          <w:szCs w:val="20"/>
        </w:rPr>
      </w:pPr>
      <w:r>
        <w:rPr>
          <w:rFonts w:ascii="Verdana" w:hAnsi="Verdana" w:cs="Arial"/>
          <w:sz w:val="20"/>
          <w:szCs w:val="20"/>
        </w:rPr>
        <w:t>Superfinanciera</w:t>
      </w:r>
      <w:r w:rsidR="00A62A73">
        <w:rPr>
          <w:rFonts w:ascii="Verdana" w:hAnsi="Verdana" w:cs="Arial"/>
          <w:sz w:val="20"/>
          <w:szCs w:val="20"/>
        </w:rPr>
        <w:t>-archivos</w:t>
      </w:r>
    </w:p>
    <w:p w14:paraId="0BB87BBA" w14:textId="62A603D4" w:rsidR="002A7CF8" w:rsidRPr="00075DE0" w:rsidRDefault="003F70C8" w:rsidP="00BE2B83">
      <w:pPr>
        <w:jc w:val="both"/>
        <w:rPr>
          <w:rFonts w:ascii="Verdana" w:hAnsi="Verdana" w:cs="Arial"/>
          <w:sz w:val="20"/>
          <w:szCs w:val="20"/>
        </w:rPr>
      </w:pPr>
      <w:r>
        <w:rPr>
          <w:rFonts w:ascii="Verdana" w:hAnsi="Verdana" w:cs="Arial"/>
          <w:sz w:val="20"/>
          <w:szCs w:val="20"/>
        </w:rPr>
        <w:t>SFTP</w:t>
      </w:r>
      <w:r w:rsidR="00CA7281">
        <w:rPr>
          <w:rFonts w:ascii="Verdana" w:hAnsi="Verdana" w:cs="Arial"/>
          <w:sz w:val="20"/>
          <w:szCs w:val="20"/>
        </w:rPr>
        <w:t xml:space="preserve"> (contingencia)</w:t>
      </w:r>
    </w:p>
    <w:p w14:paraId="410E7E69" w14:textId="77777777" w:rsidR="00574F26" w:rsidRDefault="00574F26" w:rsidP="00CF627D">
      <w:pPr>
        <w:jc w:val="center"/>
        <w:rPr>
          <w:rFonts w:ascii="Verdana" w:hAnsi="Verdana"/>
          <w:b/>
          <w:bCs/>
          <w:sz w:val="20"/>
          <w:szCs w:val="20"/>
        </w:rPr>
      </w:pPr>
    </w:p>
    <w:p w14:paraId="6DC5DE64" w14:textId="2A31CA4A" w:rsidR="00BE2B83" w:rsidRDefault="00BE2B83" w:rsidP="00BE2B83">
      <w:pPr>
        <w:jc w:val="both"/>
        <w:rPr>
          <w:rFonts w:ascii="Verdana" w:hAnsi="Verdana"/>
          <w:b/>
          <w:bCs/>
          <w:sz w:val="20"/>
          <w:szCs w:val="20"/>
        </w:rPr>
      </w:pPr>
      <w:r>
        <w:rPr>
          <w:rFonts w:ascii="Verdana" w:hAnsi="Verdana"/>
          <w:b/>
          <w:bCs/>
          <w:sz w:val="20"/>
          <w:szCs w:val="20"/>
        </w:rPr>
        <w:t>Responsable:</w:t>
      </w:r>
    </w:p>
    <w:p w14:paraId="5AF18E13" w14:textId="77777777" w:rsidR="00BE2B83" w:rsidRDefault="00BE2B83" w:rsidP="00BE2B83">
      <w:pPr>
        <w:jc w:val="center"/>
        <w:rPr>
          <w:rFonts w:ascii="Verdana" w:hAnsi="Verdana"/>
          <w:b/>
          <w:bCs/>
          <w:sz w:val="20"/>
          <w:szCs w:val="20"/>
        </w:rPr>
      </w:pPr>
    </w:p>
    <w:p w14:paraId="67E92F94" w14:textId="77777777" w:rsidR="00863766" w:rsidRPr="00075DE0" w:rsidRDefault="00863766" w:rsidP="00863766">
      <w:pPr>
        <w:jc w:val="both"/>
        <w:rPr>
          <w:rFonts w:ascii="Verdana" w:hAnsi="Verdana"/>
          <w:sz w:val="20"/>
          <w:szCs w:val="20"/>
        </w:rPr>
      </w:pPr>
      <w:r w:rsidRPr="00075DE0">
        <w:rPr>
          <w:rFonts w:ascii="Verdana" w:hAnsi="Verdana"/>
          <w:sz w:val="20"/>
          <w:szCs w:val="20"/>
        </w:rPr>
        <w:t>Delegatura para Riesgo de Crédito y Contraparte</w:t>
      </w:r>
      <w:r>
        <w:rPr>
          <w:rFonts w:ascii="Verdana" w:hAnsi="Verdana"/>
          <w:sz w:val="20"/>
          <w:szCs w:val="20"/>
        </w:rPr>
        <w:t>.</w:t>
      </w:r>
    </w:p>
    <w:p w14:paraId="13719D2E" w14:textId="0E6BD1DE" w:rsidR="00CF627D" w:rsidRPr="00075DE0" w:rsidRDefault="00A23AC9" w:rsidP="003E176F">
      <w:pPr>
        <w:spacing w:after="160" w:line="259" w:lineRule="auto"/>
        <w:jc w:val="center"/>
        <w:rPr>
          <w:rFonts w:ascii="Verdana" w:hAnsi="Verdana"/>
          <w:b/>
          <w:sz w:val="20"/>
          <w:szCs w:val="20"/>
        </w:rPr>
      </w:pPr>
      <w:r>
        <w:rPr>
          <w:rFonts w:ascii="Verdana" w:hAnsi="Verdana"/>
          <w:b/>
          <w:sz w:val="20"/>
          <w:szCs w:val="20"/>
        </w:rPr>
        <w:br w:type="page"/>
      </w:r>
      <w:r>
        <w:rPr>
          <w:rFonts w:ascii="Verdana" w:hAnsi="Verdana"/>
          <w:b/>
          <w:sz w:val="20"/>
          <w:szCs w:val="20"/>
        </w:rPr>
        <w:lastRenderedPageBreak/>
        <w:t xml:space="preserve">Reglas </w:t>
      </w:r>
      <w:r w:rsidR="00F44CB4">
        <w:rPr>
          <w:rFonts w:ascii="Verdana" w:hAnsi="Verdana"/>
          <w:b/>
          <w:sz w:val="20"/>
          <w:szCs w:val="20"/>
        </w:rPr>
        <w:t>G</w:t>
      </w:r>
      <w:r>
        <w:rPr>
          <w:rFonts w:ascii="Verdana" w:hAnsi="Verdana"/>
          <w:b/>
          <w:sz w:val="20"/>
          <w:szCs w:val="20"/>
        </w:rPr>
        <w:t xml:space="preserve">enerales de </w:t>
      </w:r>
      <w:r w:rsidR="00F44CB4">
        <w:rPr>
          <w:rFonts w:ascii="Verdana" w:hAnsi="Verdana"/>
          <w:b/>
          <w:sz w:val="20"/>
          <w:szCs w:val="20"/>
        </w:rPr>
        <w:t>D</w:t>
      </w:r>
      <w:r>
        <w:rPr>
          <w:rFonts w:ascii="Verdana" w:hAnsi="Verdana"/>
          <w:b/>
          <w:sz w:val="20"/>
          <w:szCs w:val="20"/>
        </w:rPr>
        <w:t>iligenciamiento</w:t>
      </w:r>
    </w:p>
    <w:p w14:paraId="08A7B0ED" w14:textId="77777777" w:rsidR="00CF627D" w:rsidRPr="00474F32" w:rsidRDefault="00CF627D" w:rsidP="00C7676E">
      <w:pPr>
        <w:jc w:val="both"/>
        <w:outlineLvl w:val="0"/>
        <w:rPr>
          <w:rFonts w:ascii="Verdana" w:hAnsi="Verdana"/>
          <w:sz w:val="20"/>
          <w:szCs w:val="20"/>
        </w:rPr>
      </w:pPr>
    </w:p>
    <w:p w14:paraId="243B24F4" w14:textId="7CDB34C0" w:rsidR="00CF627D" w:rsidRPr="00075DE0" w:rsidRDefault="00CF627D" w:rsidP="00F44CB4">
      <w:pPr>
        <w:pStyle w:val="Prrafodelista"/>
        <w:numPr>
          <w:ilvl w:val="0"/>
          <w:numId w:val="10"/>
        </w:numPr>
        <w:ind w:left="567" w:hanging="567"/>
        <w:jc w:val="both"/>
        <w:outlineLvl w:val="0"/>
        <w:rPr>
          <w:rFonts w:ascii="Verdana" w:hAnsi="Verdana"/>
          <w:sz w:val="20"/>
          <w:szCs w:val="20"/>
        </w:rPr>
      </w:pPr>
      <w:r w:rsidRPr="00075DE0">
        <w:rPr>
          <w:rFonts w:ascii="Verdana" w:hAnsi="Verdana"/>
          <w:sz w:val="20"/>
          <w:szCs w:val="20"/>
        </w:rPr>
        <w:t>Para el reporte de la información</w:t>
      </w:r>
      <w:r w:rsidR="00C70EEB">
        <w:rPr>
          <w:rFonts w:ascii="Verdana" w:hAnsi="Verdana"/>
          <w:sz w:val="20"/>
          <w:szCs w:val="20"/>
        </w:rPr>
        <w:t xml:space="preserve"> del MURIC</w:t>
      </w:r>
      <w:r w:rsidRPr="00075DE0">
        <w:rPr>
          <w:rFonts w:ascii="Verdana" w:hAnsi="Verdana"/>
          <w:sz w:val="20"/>
          <w:szCs w:val="20"/>
        </w:rPr>
        <w:t xml:space="preserve"> se</w:t>
      </w:r>
      <w:r w:rsidR="00A23AC9">
        <w:rPr>
          <w:rFonts w:ascii="Verdana" w:hAnsi="Verdana"/>
          <w:sz w:val="20"/>
          <w:szCs w:val="20"/>
        </w:rPr>
        <w:t xml:space="preserve"> deben considerar las tablas </w:t>
      </w:r>
      <w:r w:rsidR="00F44CB4">
        <w:rPr>
          <w:rFonts w:ascii="Verdana" w:hAnsi="Verdana"/>
          <w:sz w:val="20"/>
          <w:szCs w:val="20"/>
        </w:rPr>
        <w:t>y codificaciones disponibles en</w:t>
      </w:r>
      <w:r w:rsidRPr="00075DE0">
        <w:rPr>
          <w:rFonts w:ascii="Verdana" w:hAnsi="Verdana"/>
          <w:sz w:val="20"/>
          <w:szCs w:val="20"/>
        </w:rPr>
        <w:t xml:space="preserve"> la página web de</w:t>
      </w:r>
      <w:r w:rsidR="00F44CB4">
        <w:rPr>
          <w:rFonts w:ascii="Verdana" w:hAnsi="Verdana"/>
          <w:sz w:val="20"/>
          <w:szCs w:val="20"/>
        </w:rPr>
        <w:t xml:space="preserve"> la</w:t>
      </w:r>
      <w:r w:rsidRPr="00075DE0">
        <w:rPr>
          <w:rFonts w:ascii="Verdana" w:hAnsi="Verdana"/>
          <w:sz w:val="20"/>
          <w:szCs w:val="20"/>
        </w:rPr>
        <w:t xml:space="preserve"> Superintendencia </w:t>
      </w:r>
      <w:r w:rsidR="00F44CB4">
        <w:rPr>
          <w:rFonts w:ascii="Verdana" w:hAnsi="Verdana"/>
          <w:sz w:val="20"/>
          <w:szCs w:val="20"/>
        </w:rPr>
        <w:t xml:space="preserve">Financiera de Colombia </w:t>
      </w:r>
      <w:r w:rsidR="00AA188B">
        <w:rPr>
          <w:rFonts w:ascii="Verdana" w:hAnsi="Verdana"/>
          <w:sz w:val="20"/>
          <w:szCs w:val="20"/>
        </w:rPr>
        <w:t>(SFC)</w:t>
      </w:r>
      <w:r w:rsidR="00551ADB">
        <w:rPr>
          <w:rFonts w:ascii="Verdana" w:hAnsi="Verdana"/>
          <w:sz w:val="20"/>
          <w:szCs w:val="20"/>
        </w:rPr>
        <w:t xml:space="preserve"> </w:t>
      </w:r>
      <w:r w:rsidRPr="00075DE0">
        <w:rPr>
          <w:rFonts w:ascii="Verdana" w:hAnsi="Verdana"/>
          <w:sz w:val="20"/>
          <w:szCs w:val="20"/>
        </w:rPr>
        <w:t>(https://www.superfinanciera.gov.co) en la sección:</w:t>
      </w:r>
    </w:p>
    <w:p w14:paraId="0C05689B" w14:textId="4B5AEE65" w:rsidR="00CF627D" w:rsidRPr="00F44CB4" w:rsidRDefault="004173BD" w:rsidP="00F44CB4">
      <w:pPr>
        <w:pStyle w:val="NormalWeb"/>
        <w:ind w:left="567"/>
        <w:jc w:val="both"/>
        <w:rPr>
          <w:rFonts w:ascii="Verdana" w:hAnsi="Verdana"/>
          <w:i/>
          <w:iCs/>
          <w:color w:val="000000"/>
          <w:sz w:val="20"/>
          <w:szCs w:val="20"/>
        </w:rPr>
      </w:pPr>
      <w:r>
        <w:rPr>
          <w:rFonts w:ascii="Verdana" w:hAnsi="Verdana"/>
          <w:i/>
          <w:iCs/>
          <w:color w:val="000000"/>
          <w:sz w:val="20"/>
          <w:szCs w:val="20"/>
        </w:rPr>
        <w:t xml:space="preserve">Inicio / Entidades vigiladas y controladas </w:t>
      </w:r>
      <w:r w:rsidR="00CF627D" w:rsidRPr="00F44CB4">
        <w:rPr>
          <w:rFonts w:ascii="Verdana" w:hAnsi="Verdana"/>
          <w:i/>
          <w:iCs/>
          <w:color w:val="000000"/>
          <w:sz w:val="20"/>
          <w:szCs w:val="20"/>
        </w:rPr>
        <w:t xml:space="preserve">/ Interés del Vigilado / Reportes / Índice de reportes de información a la Superintendencia Financiera </w:t>
      </w:r>
      <w:r w:rsidR="00755CDB" w:rsidRPr="00755CDB">
        <w:rPr>
          <w:rFonts w:ascii="Verdana" w:hAnsi="Verdana"/>
          <w:i/>
          <w:iCs/>
          <w:color w:val="000000"/>
          <w:sz w:val="20"/>
          <w:szCs w:val="20"/>
        </w:rPr>
        <w:t xml:space="preserve">/ </w:t>
      </w:r>
      <w:r w:rsidR="00755CDB">
        <w:rPr>
          <w:rFonts w:ascii="Verdana" w:hAnsi="Verdana"/>
          <w:i/>
          <w:iCs/>
          <w:color w:val="000000"/>
          <w:sz w:val="20"/>
          <w:szCs w:val="20"/>
        </w:rPr>
        <w:t>T</w:t>
      </w:r>
      <w:r w:rsidR="00755CDB" w:rsidRPr="00755CDB">
        <w:rPr>
          <w:rFonts w:ascii="Verdana" w:hAnsi="Verdana"/>
          <w:i/>
          <w:iCs/>
          <w:color w:val="000000"/>
          <w:sz w:val="20"/>
          <w:szCs w:val="20"/>
        </w:rPr>
        <w:t xml:space="preserve">ablas anexas para el reporte de información  </w:t>
      </w:r>
    </w:p>
    <w:p w14:paraId="1CBF7756" w14:textId="691AA945" w:rsidR="4923CE6A" w:rsidRPr="00591110" w:rsidRDefault="00CF627D" w:rsidP="00591110">
      <w:pPr>
        <w:pStyle w:val="NormalWeb"/>
        <w:ind w:left="567"/>
        <w:jc w:val="both"/>
        <w:rPr>
          <w:rFonts w:ascii="Verdana" w:hAnsi="Verdana"/>
          <w:color w:val="000000"/>
          <w:sz w:val="20"/>
          <w:szCs w:val="20"/>
        </w:rPr>
      </w:pPr>
      <w:r w:rsidRPr="4923CE6A">
        <w:rPr>
          <w:rFonts w:ascii="Verdana" w:hAnsi="Verdana"/>
          <w:color w:val="000000" w:themeColor="text1"/>
          <w:sz w:val="20"/>
          <w:szCs w:val="20"/>
        </w:rPr>
        <w:t xml:space="preserve">Las entidades serán responsables de consultar periódicamente las tablas </w:t>
      </w:r>
      <w:r w:rsidR="00F44CB4" w:rsidRPr="4923CE6A">
        <w:rPr>
          <w:rFonts w:ascii="Verdana" w:hAnsi="Verdana"/>
          <w:color w:val="000000" w:themeColor="text1"/>
          <w:sz w:val="20"/>
          <w:szCs w:val="20"/>
        </w:rPr>
        <w:t xml:space="preserve">y codificaciones </w:t>
      </w:r>
      <w:r w:rsidRPr="4923CE6A">
        <w:rPr>
          <w:rFonts w:ascii="Verdana" w:hAnsi="Verdana"/>
          <w:color w:val="000000" w:themeColor="text1"/>
          <w:sz w:val="20"/>
          <w:szCs w:val="20"/>
        </w:rPr>
        <w:t>con el fin de mantener un reporte de información actualizado.</w:t>
      </w:r>
    </w:p>
    <w:p w14:paraId="7F41FA0F" w14:textId="0B606708" w:rsidR="00CF627D" w:rsidRPr="00075DE0" w:rsidRDefault="00A91E26" w:rsidP="4923CE6A">
      <w:pPr>
        <w:pStyle w:val="Prrafodelista"/>
        <w:numPr>
          <w:ilvl w:val="0"/>
          <w:numId w:val="10"/>
        </w:numPr>
        <w:ind w:left="567" w:hanging="567"/>
        <w:jc w:val="both"/>
        <w:outlineLvl w:val="0"/>
        <w:rPr>
          <w:rFonts w:ascii="Verdana" w:hAnsi="Verdana"/>
          <w:sz w:val="20"/>
          <w:szCs w:val="20"/>
        </w:rPr>
      </w:pPr>
      <w:r w:rsidRPr="4923CE6A">
        <w:rPr>
          <w:rFonts w:ascii="Verdana" w:hAnsi="Verdana"/>
          <w:sz w:val="20"/>
          <w:szCs w:val="20"/>
        </w:rPr>
        <w:t>Únicamente p</w:t>
      </w:r>
      <w:r w:rsidR="00825A43" w:rsidRPr="4923CE6A">
        <w:rPr>
          <w:rFonts w:ascii="Verdana" w:hAnsi="Verdana"/>
          <w:sz w:val="20"/>
          <w:szCs w:val="20"/>
        </w:rPr>
        <w:t>ara efectos del MURIC, se entiende por crédito toda operación de mutuo, préstamo u otra figura equivalente mediante la cual una entidad vigilada</w:t>
      </w:r>
      <w:r w:rsidR="00806468" w:rsidRPr="4923CE6A">
        <w:rPr>
          <w:rFonts w:ascii="Verdana" w:hAnsi="Verdana"/>
          <w:sz w:val="20"/>
          <w:szCs w:val="20"/>
        </w:rPr>
        <w:t>, o sus vehículos</w:t>
      </w:r>
      <w:r w:rsidR="00360DEC">
        <w:rPr>
          <w:rFonts w:ascii="Verdana" w:hAnsi="Verdana"/>
          <w:sz w:val="20"/>
          <w:szCs w:val="20"/>
        </w:rPr>
        <w:t xml:space="preserve"> administrados</w:t>
      </w:r>
      <w:r w:rsidR="00806468" w:rsidRPr="4923CE6A">
        <w:rPr>
          <w:rFonts w:ascii="Verdana" w:hAnsi="Verdana"/>
          <w:sz w:val="20"/>
          <w:szCs w:val="20"/>
        </w:rPr>
        <w:t xml:space="preserve"> </w:t>
      </w:r>
      <w:r w:rsidR="00AA713C">
        <w:rPr>
          <w:rFonts w:ascii="Verdana" w:hAnsi="Verdana"/>
          <w:sz w:val="20"/>
          <w:szCs w:val="20"/>
        </w:rPr>
        <w:t>(</w:t>
      </w:r>
      <w:r w:rsidR="00806468" w:rsidRPr="4923CE6A">
        <w:rPr>
          <w:rFonts w:ascii="Verdana" w:hAnsi="Verdana"/>
          <w:sz w:val="20"/>
          <w:szCs w:val="20"/>
        </w:rPr>
        <w:t xml:space="preserve">cuando </w:t>
      </w:r>
      <w:r w:rsidR="007520F5" w:rsidRPr="4923CE6A">
        <w:rPr>
          <w:rFonts w:ascii="Verdana" w:hAnsi="Verdana"/>
          <w:sz w:val="20"/>
          <w:szCs w:val="20"/>
        </w:rPr>
        <w:t>aplique</w:t>
      </w:r>
      <w:r w:rsidR="00AA713C">
        <w:rPr>
          <w:rFonts w:ascii="Verdana" w:hAnsi="Verdana"/>
          <w:sz w:val="20"/>
          <w:szCs w:val="20"/>
        </w:rPr>
        <w:t>)</w:t>
      </w:r>
      <w:r w:rsidR="00825A43" w:rsidRPr="4923CE6A">
        <w:rPr>
          <w:rFonts w:ascii="Verdana" w:hAnsi="Verdana"/>
          <w:sz w:val="20"/>
          <w:szCs w:val="20"/>
        </w:rPr>
        <w:t xml:space="preserve"> otorg</w:t>
      </w:r>
      <w:r w:rsidR="007520F5" w:rsidRPr="4923CE6A">
        <w:rPr>
          <w:rFonts w:ascii="Verdana" w:hAnsi="Verdana"/>
          <w:sz w:val="20"/>
          <w:szCs w:val="20"/>
        </w:rPr>
        <w:t>uen</w:t>
      </w:r>
      <w:r w:rsidR="00825A43" w:rsidRPr="4923CE6A">
        <w:rPr>
          <w:rFonts w:ascii="Verdana" w:hAnsi="Verdana"/>
          <w:sz w:val="20"/>
          <w:szCs w:val="20"/>
        </w:rPr>
        <w:t xml:space="preserve"> recursos financieros, facilit</w:t>
      </w:r>
      <w:r w:rsidR="007520F5" w:rsidRPr="4923CE6A">
        <w:rPr>
          <w:rFonts w:ascii="Verdana" w:hAnsi="Verdana"/>
          <w:sz w:val="20"/>
          <w:szCs w:val="20"/>
        </w:rPr>
        <w:t>en</w:t>
      </w:r>
      <w:r w:rsidR="00825A43" w:rsidRPr="4923CE6A">
        <w:rPr>
          <w:rFonts w:ascii="Verdana" w:hAnsi="Verdana"/>
          <w:sz w:val="20"/>
          <w:szCs w:val="20"/>
        </w:rPr>
        <w:t xml:space="preserve"> el acceso </w:t>
      </w:r>
      <w:r w:rsidR="00C179D0" w:rsidRPr="4923CE6A">
        <w:rPr>
          <w:rFonts w:ascii="Verdana" w:hAnsi="Verdana"/>
          <w:sz w:val="20"/>
          <w:szCs w:val="20"/>
        </w:rPr>
        <w:t>a</w:t>
      </w:r>
      <w:r w:rsidR="00825A43" w:rsidRPr="4923CE6A">
        <w:rPr>
          <w:rFonts w:ascii="Verdana" w:hAnsi="Verdana"/>
          <w:sz w:val="20"/>
          <w:szCs w:val="20"/>
        </w:rPr>
        <w:t xml:space="preserve"> bienes</w:t>
      </w:r>
      <w:r w:rsidR="00C179D0" w:rsidRPr="4923CE6A">
        <w:rPr>
          <w:rFonts w:ascii="Verdana" w:hAnsi="Verdana"/>
          <w:sz w:val="20"/>
          <w:szCs w:val="20"/>
        </w:rPr>
        <w:t xml:space="preserve"> o servicios</w:t>
      </w:r>
      <w:r w:rsidR="00825A43" w:rsidRPr="4923CE6A">
        <w:rPr>
          <w:rFonts w:ascii="Verdana" w:hAnsi="Verdana"/>
          <w:sz w:val="20"/>
          <w:szCs w:val="20"/>
        </w:rPr>
        <w:t xml:space="preserve"> o financi</w:t>
      </w:r>
      <w:r w:rsidR="007520F5" w:rsidRPr="4923CE6A">
        <w:rPr>
          <w:rFonts w:ascii="Verdana" w:hAnsi="Verdana"/>
          <w:sz w:val="20"/>
          <w:szCs w:val="20"/>
        </w:rPr>
        <w:t>en</w:t>
      </w:r>
      <w:r w:rsidR="00825A43" w:rsidRPr="4923CE6A">
        <w:rPr>
          <w:rFonts w:ascii="Verdana" w:hAnsi="Verdana"/>
          <w:sz w:val="20"/>
          <w:szCs w:val="20"/>
        </w:rPr>
        <w:t xml:space="preserve"> la adquisición de bienes y servicios a personas naturales</w:t>
      </w:r>
      <w:r w:rsidR="00A31351" w:rsidRPr="4923CE6A">
        <w:rPr>
          <w:rFonts w:ascii="Verdana" w:hAnsi="Verdana"/>
          <w:sz w:val="20"/>
          <w:szCs w:val="20"/>
        </w:rPr>
        <w:t xml:space="preserve">, </w:t>
      </w:r>
      <w:r w:rsidR="00825A43" w:rsidRPr="4923CE6A">
        <w:rPr>
          <w:rFonts w:ascii="Verdana" w:hAnsi="Verdana"/>
          <w:sz w:val="20"/>
          <w:szCs w:val="20"/>
        </w:rPr>
        <w:t>jurídicas</w:t>
      </w:r>
      <w:r w:rsidR="00A31351" w:rsidRPr="4923CE6A">
        <w:rPr>
          <w:rFonts w:ascii="Verdana" w:hAnsi="Verdana"/>
          <w:sz w:val="20"/>
          <w:szCs w:val="20"/>
        </w:rPr>
        <w:t xml:space="preserve"> u otros vehículos</w:t>
      </w:r>
      <w:r w:rsidR="00825A43" w:rsidRPr="4923CE6A">
        <w:rPr>
          <w:rFonts w:ascii="Verdana" w:hAnsi="Verdana"/>
          <w:sz w:val="20"/>
          <w:szCs w:val="20"/>
        </w:rPr>
        <w:t>, bajo la obligación de restitución o pago.</w:t>
      </w:r>
    </w:p>
    <w:p w14:paraId="3BF93459" w14:textId="3D802A0D" w:rsidR="00CF627D" w:rsidRPr="00075DE0" w:rsidRDefault="00CF627D" w:rsidP="4923CE6A">
      <w:pPr>
        <w:pStyle w:val="Prrafodelista"/>
        <w:ind w:left="567" w:hanging="567"/>
        <w:jc w:val="both"/>
        <w:outlineLvl w:val="0"/>
        <w:rPr>
          <w:rFonts w:ascii="Verdana" w:hAnsi="Verdana"/>
          <w:sz w:val="20"/>
          <w:szCs w:val="20"/>
        </w:rPr>
      </w:pPr>
    </w:p>
    <w:p w14:paraId="50F9E260" w14:textId="531582D6" w:rsidR="00CF627D" w:rsidRPr="00075DE0" w:rsidRDefault="00825A43" w:rsidP="4923CE6A">
      <w:pPr>
        <w:pStyle w:val="Prrafodelista"/>
        <w:ind w:left="567"/>
        <w:jc w:val="both"/>
        <w:outlineLvl w:val="0"/>
        <w:rPr>
          <w:rFonts w:ascii="Verdana" w:hAnsi="Verdana"/>
          <w:sz w:val="20"/>
          <w:szCs w:val="20"/>
        </w:rPr>
      </w:pPr>
      <w:r w:rsidRPr="4923CE6A">
        <w:rPr>
          <w:rFonts w:ascii="Verdana" w:hAnsi="Verdana"/>
          <w:sz w:val="20"/>
          <w:szCs w:val="20"/>
        </w:rPr>
        <w:t xml:space="preserve">La información reportada sobre </w:t>
      </w:r>
      <w:r w:rsidR="000714B5" w:rsidRPr="4923CE6A">
        <w:rPr>
          <w:rFonts w:ascii="Verdana" w:hAnsi="Verdana"/>
          <w:sz w:val="20"/>
          <w:szCs w:val="20"/>
        </w:rPr>
        <w:t xml:space="preserve">las </w:t>
      </w:r>
      <w:r w:rsidRPr="4923CE6A">
        <w:rPr>
          <w:rFonts w:ascii="Verdana" w:hAnsi="Verdana"/>
          <w:sz w:val="20"/>
          <w:szCs w:val="20"/>
        </w:rPr>
        <w:t xml:space="preserve">operaciones </w:t>
      </w:r>
      <w:r w:rsidR="000714B5" w:rsidRPr="4923CE6A">
        <w:rPr>
          <w:rFonts w:ascii="Verdana" w:hAnsi="Verdana"/>
          <w:sz w:val="20"/>
          <w:szCs w:val="20"/>
        </w:rPr>
        <w:t xml:space="preserve">objeto del presente reporte </w:t>
      </w:r>
      <w:r w:rsidRPr="4923CE6A">
        <w:rPr>
          <w:rFonts w:ascii="Verdana" w:hAnsi="Verdana"/>
          <w:sz w:val="20"/>
          <w:szCs w:val="20"/>
        </w:rPr>
        <w:t xml:space="preserve"> deberá ser consistente con las cifras informadas en el CUIF para el mismo período de reporte.</w:t>
      </w:r>
      <w:r w:rsidR="00B93CF7" w:rsidRPr="4923CE6A">
        <w:rPr>
          <w:rFonts w:ascii="Verdana" w:hAnsi="Verdana"/>
          <w:sz w:val="20"/>
          <w:szCs w:val="20"/>
        </w:rPr>
        <w:t xml:space="preserve"> </w:t>
      </w:r>
      <w:r w:rsidR="00EE4AD9">
        <w:rPr>
          <w:rFonts w:ascii="Verdana" w:hAnsi="Verdana"/>
          <w:sz w:val="20"/>
          <w:szCs w:val="20"/>
        </w:rPr>
        <w:t xml:space="preserve">Sin embargo, esta regla de consistencia </w:t>
      </w:r>
      <w:r w:rsidR="009D65C4" w:rsidRPr="4923CE6A">
        <w:rPr>
          <w:rFonts w:ascii="Verdana" w:hAnsi="Verdana"/>
          <w:sz w:val="20"/>
          <w:szCs w:val="20"/>
        </w:rPr>
        <w:t xml:space="preserve">no aplicará </w:t>
      </w:r>
      <w:r w:rsidR="003455A7">
        <w:rPr>
          <w:rFonts w:ascii="Verdana" w:hAnsi="Verdana"/>
          <w:sz w:val="20"/>
          <w:szCs w:val="20"/>
        </w:rPr>
        <w:t>en los siguientes eventos</w:t>
      </w:r>
      <w:r w:rsidR="005F231B">
        <w:rPr>
          <w:rFonts w:ascii="Verdana" w:hAnsi="Verdana"/>
          <w:sz w:val="20"/>
          <w:szCs w:val="20"/>
        </w:rPr>
        <w:t>,</w:t>
      </w:r>
      <w:r w:rsidR="003455A7">
        <w:rPr>
          <w:rFonts w:ascii="Verdana" w:hAnsi="Verdana"/>
          <w:sz w:val="20"/>
          <w:szCs w:val="20"/>
        </w:rPr>
        <w:t xml:space="preserve"> </w:t>
      </w:r>
      <w:r w:rsidR="003455A7" w:rsidRPr="003455A7">
        <w:rPr>
          <w:rFonts w:ascii="Verdana" w:hAnsi="Verdana"/>
          <w:sz w:val="20"/>
          <w:szCs w:val="20"/>
        </w:rPr>
        <w:t xml:space="preserve">cuando </w:t>
      </w:r>
      <w:r w:rsidR="005F231B">
        <w:rPr>
          <w:rFonts w:ascii="Verdana" w:hAnsi="Verdana"/>
          <w:sz w:val="20"/>
          <w:szCs w:val="20"/>
        </w:rPr>
        <w:t xml:space="preserve">existan motivos técnicos o jurídicos que justifiquen razonablemente </w:t>
      </w:r>
      <w:r w:rsidR="001E7310">
        <w:rPr>
          <w:rFonts w:ascii="Verdana" w:hAnsi="Verdana"/>
          <w:sz w:val="20"/>
          <w:szCs w:val="20"/>
        </w:rPr>
        <w:t>las diferencias</w:t>
      </w:r>
      <w:r w:rsidR="003455A7">
        <w:rPr>
          <w:rFonts w:ascii="Verdana" w:hAnsi="Verdana"/>
          <w:sz w:val="20"/>
          <w:szCs w:val="20"/>
        </w:rPr>
        <w:t>:</w:t>
      </w:r>
      <w:r w:rsidR="003455A7" w:rsidRPr="003455A7">
        <w:rPr>
          <w:rFonts w:ascii="Verdana" w:hAnsi="Verdana"/>
          <w:sz w:val="20"/>
          <w:szCs w:val="20"/>
          <w:lang w:val="es-ES"/>
        </w:rPr>
        <w:t> </w:t>
      </w:r>
      <w:r w:rsidR="00091EC6" w:rsidRPr="4923CE6A">
        <w:rPr>
          <w:rFonts w:ascii="Verdana" w:eastAsia="Times New Roman" w:hAnsi="Verdana" w:cs="Arial"/>
          <w:color w:val="000000" w:themeColor="text1"/>
          <w:sz w:val="20"/>
          <w:szCs w:val="20"/>
          <w:lang w:eastAsia="es-419"/>
        </w:rPr>
        <w:t>(i) negocios</w:t>
      </w:r>
      <w:r w:rsidR="00EF1909" w:rsidRPr="4923CE6A">
        <w:rPr>
          <w:rFonts w:ascii="Verdana" w:eastAsia="Times New Roman" w:hAnsi="Verdana" w:cs="Arial"/>
          <w:color w:val="000000" w:themeColor="text1"/>
          <w:sz w:val="20"/>
          <w:szCs w:val="20"/>
          <w:lang w:eastAsia="es-419"/>
        </w:rPr>
        <w:t xml:space="preserve"> fiduciarios</w:t>
      </w:r>
      <w:r w:rsidR="00091EC6" w:rsidRPr="4923CE6A">
        <w:rPr>
          <w:rFonts w:ascii="Verdana" w:eastAsia="Times New Roman" w:hAnsi="Verdana" w:cs="Arial"/>
          <w:color w:val="000000" w:themeColor="text1"/>
          <w:sz w:val="20"/>
          <w:szCs w:val="20"/>
          <w:lang w:eastAsia="es-419"/>
        </w:rPr>
        <w:t xml:space="preserve"> constituidos como resultado de procesos de titularización </w:t>
      </w:r>
      <w:r w:rsidR="00993508" w:rsidRPr="4923CE6A">
        <w:rPr>
          <w:rFonts w:ascii="Verdana" w:eastAsia="Times New Roman" w:hAnsi="Verdana" w:cs="Arial"/>
          <w:color w:val="000000" w:themeColor="text1"/>
          <w:sz w:val="20"/>
          <w:szCs w:val="20"/>
          <w:lang w:eastAsia="es-419"/>
        </w:rPr>
        <w:t>de</w:t>
      </w:r>
      <w:r w:rsidR="00091EC6" w:rsidRPr="4923CE6A">
        <w:rPr>
          <w:rFonts w:ascii="Verdana" w:eastAsia="Times New Roman" w:hAnsi="Verdana" w:cs="Arial"/>
          <w:color w:val="000000" w:themeColor="text1"/>
          <w:sz w:val="20"/>
          <w:szCs w:val="20"/>
          <w:lang w:eastAsia="es-419"/>
        </w:rPr>
        <w:t xml:space="preserve"> cartera de crédito originada por establecimientos de crédito; </w:t>
      </w:r>
      <w:r w:rsidR="00993508" w:rsidRPr="4923CE6A">
        <w:rPr>
          <w:rFonts w:ascii="Verdana" w:eastAsia="Times New Roman" w:hAnsi="Verdana" w:cs="Arial"/>
          <w:color w:val="000000" w:themeColor="text1"/>
          <w:sz w:val="20"/>
          <w:szCs w:val="20"/>
          <w:lang w:eastAsia="es-419"/>
        </w:rPr>
        <w:t xml:space="preserve">(ii) </w:t>
      </w:r>
      <w:r w:rsidR="00993508" w:rsidRPr="4923CE6A">
        <w:rPr>
          <w:rFonts w:ascii="Verdana" w:hAnsi="Verdana" w:cs="Arial"/>
          <w:sz w:val="20"/>
          <w:szCs w:val="20"/>
        </w:rPr>
        <w:t>universalidades conformadas por cartera de crédito originada por establecimientos de crédito</w:t>
      </w:r>
      <w:r w:rsidR="00762284">
        <w:rPr>
          <w:rFonts w:ascii="Verdana" w:hAnsi="Verdana" w:cs="Arial"/>
          <w:sz w:val="20"/>
          <w:szCs w:val="20"/>
        </w:rPr>
        <w:t>;</w:t>
      </w:r>
      <w:r w:rsidR="004D1786">
        <w:rPr>
          <w:rFonts w:ascii="Verdana" w:hAnsi="Verdana" w:cs="Arial"/>
          <w:sz w:val="20"/>
          <w:szCs w:val="20"/>
        </w:rPr>
        <w:t xml:space="preserve"> y</w:t>
      </w:r>
      <w:r w:rsidR="00993508" w:rsidRPr="4923CE6A">
        <w:rPr>
          <w:rFonts w:ascii="Verdana" w:eastAsia="Times New Roman" w:hAnsi="Verdana" w:cs="Arial"/>
          <w:color w:val="000000" w:themeColor="text1"/>
          <w:sz w:val="20"/>
          <w:szCs w:val="20"/>
          <w:lang w:eastAsia="es-419"/>
        </w:rPr>
        <w:t xml:space="preserve"> </w:t>
      </w:r>
      <w:r w:rsidR="00091EC6" w:rsidRPr="4923CE6A">
        <w:rPr>
          <w:rFonts w:ascii="Verdana" w:eastAsia="Times New Roman" w:hAnsi="Verdana" w:cs="Arial"/>
          <w:color w:val="000000" w:themeColor="text1"/>
          <w:sz w:val="20"/>
          <w:szCs w:val="20"/>
          <w:lang w:eastAsia="es-419"/>
        </w:rPr>
        <w:t>(iii) fondos de capital privado que originen cartera</w:t>
      </w:r>
      <w:r w:rsidR="00993508" w:rsidRPr="4923CE6A">
        <w:rPr>
          <w:rFonts w:ascii="Verdana" w:eastAsia="Times New Roman" w:hAnsi="Verdana" w:cs="Arial"/>
          <w:color w:val="000000" w:themeColor="text1"/>
          <w:sz w:val="20"/>
          <w:szCs w:val="20"/>
          <w:lang w:eastAsia="es-419"/>
        </w:rPr>
        <w:t>.</w:t>
      </w:r>
    </w:p>
    <w:p w14:paraId="1D6E50CC" w14:textId="77777777" w:rsidR="00CF627D" w:rsidRPr="00075DE0" w:rsidRDefault="00CF627D" w:rsidP="00CF627D">
      <w:pPr>
        <w:pStyle w:val="Prrafodelista"/>
        <w:ind w:left="502"/>
        <w:jc w:val="both"/>
        <w:outlineLvl w:val="0"/>
        <w:rPr>
          <w:rFonts w:ascii="Verdana" w:hAnsi="Verdana"/>
          <w:bCs/>
          <w:sz w:val="20"/>
          <w:szCs w:val="20"/>
        </w:rPr>
      </w:pPr>
    </w:p>
    <w:p w14:paraId="2C1E665F" w14:textId="77C0DCC2" w:rsidR="00CF627D" w:rsidRPr="00075DE0" w:rsidRDefault="000869C1" w:rsidP="00F13A5B">
      <w:pPr>
        <w:pStyle w:val="Prrafodelista"/>
        <w:numPr>
          <w:ilvl w:val="0"/>
          <w:numId w:val="10"/>
        </w:numPr>
        <w:ind w:left="567" w:hanging="567"/>
        <w:jc w:val="both"/>
        <w:outlineLvl w:val="0"/>
        <w:rPr>
          <w:rFonts w:ascii="Verdana" w:hAnsi="Verdana"/>
          <w:bCs/>
          <w:sz w:val="20"/>
          <w:szCs w:val="20"/>
        </w:rPr>
      </w:pPr>
      <w:r>
        <w:rPr>
          <w:rFonts w:ascii="Verdana" w:hAnsi="Verdana"/>
          <w:bCs/>
          <w:sz w:val="20"/>
          <w:szCs w:val="20"/>
        </w:rPr>
        <w:t>E</w:t>
      </w:r>
      <w:r w:rsidR="00926EBB">
        <w:rPr>
          <w:rFonts w:ascii="Verdana" w:hAnsi="Verdana"/>
          <w:bCs/>
          <w:sz w:val="20"/>
          <w:szCs w:val="20"/>
        </w:rPr>
        <w:t>l</w:t>
      </w:r>
      <w:r>
        <w:rPr>
          <w:rFonts w:ascii="Verdana" w:hAnsi="Verdana"/>
          <w:bCs/>
          <w:sz w:val="20"/>
          <w:szCs w:val="20"/>
        </w:rPr>
        <w:t xml:space="preserve"> reporte debe incluir </w:t>
      </w:r>
      <w:r w:rsidR="00CF627D" w:rsidRPr="00075DE0">
        <w:rPr>
          <w:rFonts w:ascii="Verdana" w:hAnsi="Verdana"/>
          <w:bCs/>
          <w:sz w:val="20"/>
          <w:szCs w:val="20"/>
        </w:rPr>
        <w:t xml:space="preserve">la información </w:t>
      </w:r>
      <w:r w:rsidR="00242AE0">
        <w:rPr>
          <w:rFonts w:ascii="Verdana" w:hAnsi="Verdana"/>
          <w:bCs/>
          <w:sz w:val="20"/>
          <w:szCs w:val="20"/>
        </w:rPr>
        <w:t>de</w:t>
      </w:r>
      <w:r w:rsidR="00B16ECD">
        <w:rPr>
          <w:rFonts w:ascii="Verdana" w:hAnsi="Verdana"/>
          <w:bCs/>
          <w:sz w:val="20"/>
          <w:szCs w:val="20"/>
        </w:rPr>
        <w:t xml:space="preserve"> todos</w:t>
      </w:r>
      <w:r w:rsidR="00242AE0">
        <w:rPr>
          <w:rFonts w:ascii="Verdana" w:hAnsi="Verdana"/>
          <w:bCs/>
          <w:sz w:val="20"/>
          <w:szCs w:val="20"/>
        </w:rPr>
        <w:t xml:space="preserve"> los pr</w:t>
      </w:r>
      <w:r w:rsidR="00F20A8D">
        <w:rPr>
          <w:rFonts w:ascii="Verdana" w:hAnsi="Verdana"/>
          <w:bCs/>
          <w:sz w:val="20"/>
          <w:szCs w:val="20"/>
        </w:rPr>
        <w:t>é</w:t>
      </w:r>
      <w:r w:rsidR="00242AE0">
        <w:rPr>
          <w:rFonts w:ascii="Verdana" w:hAnsi="Verdana"/>
          <w:bCs/>
          <w:sz w:val="20"/>
          <w:szCs w:val="20"/>
        </w:rPr>
        <w:t xml:space="preserve">stamos realizados a </w:t>
      </w:r>
      <w:r w:rsidR="00B16ECD">
        <w:rPr>
          <w:rFonts w:ascii="Verdana" w:hAnsi="Verdana"/>
          <w:bCs/>
          <w:sz w:val="20"/>
          <w:szCs w:val="20"/>
        </w:rPr>
        <w:t xml:space="preserve">los </w:t>
      </w:r>
      <w:r w:rsidR="00CF627D" w:rsidRPr="00075DE0">
        <w:rPr>
          <w:rFonts w:ascii="Verdana" w:hAnsi="Verdana"/>
          <w:bCs/>
          <w:sz w:val="20"/>
          <w:szCs w:val="20"/>
        </w:rPr>
        <w:t xml:space="preserve">empleados </w:t>
      </w:r>
      <w:r w:rsidR="00242AE0">
        <w:rPr>
          <w:rFonts w:ascii="Verdana" w:hAnsi="Verdana"/>
          <w:bCs/>
          <w:sz w:val="20"/>
          <w:szCs w:val="20"/>
        </w:rPr>
        <w:t>de</w:t>
      </w:r>
      <w:r w:rsidR="00CF627D" w:rsidRPr="00075DE0">
        <w:rPr>
          <w:rFonts w:ascii="Verdana" w:hAnsi="Verdana"/>
          <w:bCs/>
          <w:sz w:val="20"/>
          <w:szCs w:val="20"/>
        </w:rPr>
        <w:t xml:space="preserve"> </w:t>
      </w:r>
      <w:r w:rsidR="000771A0">
        <w:rPr>
          <w:rFonts w:ascii="Verdana" w:hAnsi="Verdana"/>
          <w:bCs/>
          <w:sz w:val="20"/>
          <w:szCs w:val="20"/>
        </w:rPr>
        <w:t>todas las</w:t>
      </w:r>
      <w:r w:rsidR="00CF627D" w:rsidRPr="00075DE0">
        <w:rPr>
          <w:rFonts w:ascii="Verdana" w:hAnsi="Verdana"/>
          <w:bCs/>
          <w:sz w:val="20"/>
          <w:szCs w:val="20"/>
        </w:rPr>
        <w:t xml:space="preserve"> entidad</w:t>
      </w:r>
      <w:r w:rsidR="000771A0">
        <w:rPr>
          <w:rFonts w:ascii="Verdana" w:hAnsi="Verdana"/>
          <w:bCs/>
          <w:sz w:val="20"/>
          <w:szCs w:val="20"/>
        </w:rPr>
        <w:t>es</w:t>
      </w:r>
      <w:r w:rsidR="00CF627D" w:rsidRPr="00075DE0">
        <w:rPr>
          <w:rFonts w:ascii="Verdana" w:hAnsi="Verdana"/>
          <w:bCs/>
          <w:sz w:val="20"/>
          <w:szCs w:val="20"/>
        </w:rPr>
        <w:t xml:space="preserve"> reportante</w:t>
      </w:r>
      <w:r w:rsidR="000771A0">
        <w:rPr>
          <w:rFonts w:ascii="Verdana" w:hAnsi="Verdana"/>
          <w:bCs/>
          <w:sz w:val="20"/>
          <w:szCs w:val="20"/>
        </w:rPr>
        <w:t>s</w:t>
      </w:r>
      <w:r w:rsidR="00CF627D" w:rsidRPr="00075DE0">
        <w:rPr>
          <w:rFonts w:ascii="Verdana" w:hAnsi="Verdana"/>
          <w:bCs/>
          <w:sz w:val="20"/>
          <w:szCs w:val="20"/>
        </w:rPr>
        <w:t xml:space="preserve">. </w:t>
      </w:r>
    </w:p>
    <w:p w14:paraId="254A1032" w14:textId="77777777" w:rsidR="00CF627D" w:rsidRPr="00075DE0" w:rsidRDefault="00CF627D" w:rsidP="00CF627D">
      <w:pPr>
        <w:pStyle w:val="Prrafodelista"/>
        <w:ind w:left="502"/>
        <w:jc w:val="both"/>
        <w:outlineLvl w:val="0"/>
        <w:rPr>
          <w:rFonts w:ascii="Verdana" w:hAnsi="Verdana"/>
          <w:bCs/>
          <w:sz w:val="20"/>
          <w:szCs w:val="20"/>
        </w:rPr>
      </w:pPr>
    </w:p>
    <w:p w14:paraId="5B0A44F3" w14:textId="5600134C" w:rsidR="00CF627D" w:rsidRPr="00E51454" w:rsidRDefault="00CF627D" w:rsidP="00E51454">
      <w:pPr>
        <w:pStyle w:val="Prrafodelista"/>
        <w:numPr>
          <w:ilvl w:val="0"/>
          <w:numId w:val="10"/>
        </w:numPr>
        <w:ind w:left="567" w:hanging="567"/>
        <w:jc w:val="both"/>
        <w:outlineLvl w:val="0"/>
        <w:rPr>
          <w:rFonts w:ascii="Verdana" w:hAnsi="Verdana"/>
          <w:bCs/>
          <w:sz w:val="20"/>
          <w:szCs w:val="20"/>
        </w:rPr>
      </w:pPr>
      <w:r w:rsidRPr="00075DE0">
        <w:rPr>
          <w:rFonts w:ascii="Verdana" w:hAnsi="Verdana"/>
          <w:bCs/>
          <w:sz w:val="20"/>
          <w:szCs w:val="20"/>
        </w:rPr>
        <w:t>Las tarjetas de crédito emitidas por las entidades para cubrir los gastos que realicen sus empleados en ejercicio de sus funciones no deberán ser reportadas, por cuanto corresponden a gastos de la entidad que deben registrarse en la cuenta de</w:t>
      </w:r>
      <w:r w:rsidR="00436309">
        <w:rPr>
          <w:rFonts w:ascii="Verdana" w:hAnsi="Verdana"/>
          <w:bCs/>
          <w:sz w:val="20"/>
          <w:szCs w:val="20"/>
        </w:rPr>
        <w:t xml:space="preserve"> gastos a empleados por concepto de honorarios o gastos de representación</w:t>
      </w:r>
      <w:r w:rsidRPr="00075DE0">
        <w:rPr>
          <w:rFonts w:ascii="Verdana" w:hAnsi="Verdana"/>
          <w:bCs/>
          <w:sz w:val="20"/>
          <w:szCs w:val="20"/>
        </w:rPr>
        <w:t>.</w:t>
      </w:r>
    </w:p>
    <w:p w14:paraId="3403FAD1" w14:textId="77777777" w:rsidR="00CF627D" w:rsidRPr="00075DE0" w:rsidRDefault="00CF627D" w:rsidP="00CF627D">
      <w:pPr>
        <w:pStyle w:val="Prrafodelista"/>
        <w:ind w:left="502"/>
        <w:jc w:val="both"/>
        <w:outlineLvl w:val="0"/>
        <w:rPr>
          <w:rFonts w:ascii="Verdana" w:hAnsi="Verdana"/>
          <w:bCs/>
          <w:sz w:val="20"/>
          <w:szCs w:val="20"/>
        </w:rPr>
      </w:pPr>
    </w:p>
    <w:p w14:paraId="07A0678C" w14:textId="2A3660DB" w:rsidR="00CC13CA" w:rsidRPr="00CC13CA" w:rsidRDefault="00CF627D" w:rsidP="00840C56">
      <w:pPr>
        <w:pStyle w:val="Prrafodelista"/>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Si existe un código de identificación de crédito duplicado dentro de los sistemas de la entidad, </w:t>
      </w:r>
      <w:r w:rsidR="00D405DA">
        <w:rPr>
          <w:rFonts w:ascii="Verdana" w:hAnsi="Verdana"/>
          <w:bCs/>
          <w:sz w:val="20"/>
          <w:szCs w:val="20"/>
        </w:rPr>
        <w:t>se</w:t>
      </w:r>
      <w:r w:rsidRPr="00075DE0">
        <w:rPr>
          <w:rFonts w:ascii="Verdana" w:hAnsi="Verdana"/>
          <w:bCs/>
          <w:sz w:val="20"/>
          <w:szCs w:val="20"/>
        </w:rPr>
        <w:t xml:space="preserve"> debe agregar un prefijo </w:t>
      </w:r>
      <w:r w:rsidR="007877DF">
        <w:rPr>
          <w:rFonts w:ascii="Verdana" w:hAnsi="Verdana"/>
          <w:bCs/>
          <w:sz w:val="20"/>
          <w:szCs w:val="20"/>
        </w:rPr>
        <w:t>al código de identificación</w:t>
      </w:r>
      <w:r w:rsidR="00A44114">
        <w:rPr>
          <w:rFonts w:ascii="Verdana" w:hAnsi="Verdana"/>
          <w:bCs/>
          <w:sz w:val="20"/>
          <w:szCs w:val="20"/>
        </w:rPr>
        <w:t xml:space="preserve"> de la operación</w:t>
      </w:r>
      <w:r w:rsidR="000F494B">
        <w:rPr>
          <w:rFonts w:ascii="Verdana" w:hAnsi="Verdana"/>
          <w:bCs/>
          <w:sz w:val="20"/>
          <w:szCs w:val="20"/>
        </w:rPr>
        <w:t>, a partir del</w:t>
      </w:r>
      <w:r w:rsidRPr="00075DE0">
        <w:rPr>
          <w:rFonts w:ascii="Verdana" w:hAnsi="Verdana"/>
          <w:bCs/>
          <w:sz w:val="20"/>
          <w:szCs w:val="20"/>
        </w:rPr>
        <w:t xml:space="preserve"> código del producto</w:t>
      </w:r>
      <w:r w:rsidR="00CC13CA">
        <w:rPr>
          <w:rFonts w:ascii="Verdana" w:hAnsi="Verdana"/>
          <w:bCs/>
          <w:sz w:val="20"/>
          <w:szCs w:val="20"/>
        </w:rPr>
        <w:t xml:space="preserve"> respectivo</w:t>
      </w:r>
      <w:r w:rsidR="00A44114">
        <w:rPr>
          <w:rFonts w:ascii="Verdana" w:hAnsi="Verdana"/>
          <w:bCs/>
          <w:sz w:val="20"/>
          <w:szCs w:val="20"/>
        </w:rPr>
        <w:t xml:space="preserve"> según la codificación publicada </w:t>
      </w:r>
      <w:r w:rsidR="00E71809">
        <w:rPr>
          <w:rFonts w:ascii="Verdana" w:hAnsi="Verdana"/>
          <w:bCs/>
          <w:sz w:val="20"/>
          <w:szCs w:val="20"/>
        </w:rPr>
        <w:t>en la página web de la SFC</w:t>
      </w:r>
      <w:r w:rsidR="00240634">
        <w:rPr>
          <w:rFonts w:ascii="Verdana" w:hAnsi="Verdana"/>
          <w:bCs/>
          <w:sz w:val="20"/>
          <w:szCs w:val="20"/>
        </w:rPr>
        <w:t>,</w:t>
      </w:r>
      <w:r w:rsidR="00E71809">
        <w:rPr>
          <w:rFonts w:ascii="Verdana" w:hAnsi="Verdana"/>
          <w:bCs/>
          <w:sz w:val="20"/>
          <w:szCs w:val="20"/>
        </w:rPr>
        <w:t xml:space="preserve"> en la</w:t>
      </w:r>
      <w:r w:rsidRPr="00075DE0">
        <w:rPr>
          <w:rFonts w:ascii="Verdana" w:hAnsi="Verdana"/>
          <w:bCs/>
          <w:sz w:val="20"/>
          <w:szCs w:val="20"/>
        </w:rPr>
        <w:t xml:space="preserve"> </w:t>
      </w:r>
      <w:r w:rsidR="00840C56" w:rsidRPr="00E71809">
        <w:rPr>
          <w:rFonts w:ascii="Verdana" w:eastAsia="Times New Roman" w:hAnsi="Verdana" w:cs="Calibri"/>
          <w:color w:val="000000"/>
          <w:sz w:val="20"/>
          <w:szCs w:val="20"/>
          <w:lang w:eastAsia="es-CO"/>
        </w:rPr>
        <w:t>sección</w:t>
      </w:r>
      <w:r w:rsidR="00CC13CA">
        <w:rPr>
          <w:rFonts w:ascii="Verdana" w:eastAsia="Times New Roman" w:hAnsi="Verdana" w:cs="Calibri"/>
          <w:color w:val="000000"/>
          <w:sz w:val="20"/>
          <w:szCs w:val="20"/>
          <w:lang w:eastAsia="es-CO"/>
        </w:rPr>
        <w:t>:</w:t>
      </w:r>
      <w:r w:rsidR="00840C56" w:rsidRPr="00E71809">
        <w:rPr>
          <w:rFonts w:ascii="Verdana" w:eastAsia="Times New Roman" w:hAnsi="Verdana" w:cs="Calibri"/>
          <w:color w:val="000000"/>
          <w:sz w:val="20"/>
          <w:szCs w:val="20"/>
          <w:lang w:eastAsia="es-CO"/>
        </w:rPr>
        <w:t xml:space="preserve"> </w:t>
      </w:r>
    </w:p>
    <w:p w14:paraId="2FB10E66" w14:textId="77777777" w:rsidR="00CC13CA" w:rsidRPr="00CC13CA" w:rsidRDefault="00CC13CA" w:rsidP="00CC13CA">
      <w:pPr>
        <w:pStyle w:val="Prrafodelista"/>
        <w:rPr>
          <w:rFonts w:ascii="Verdana" w:eastAsia="Times New Roman" w:hAnsi="Verdana" w:cs="Calibri"/>
          <w:color w:val="000000"/>
          <w:sz w:val="20"/>
          <w:szCs w:val="20"/>
          <w:lang w:eastAsia="es-CO"/>
        </w:rPr>
      </w:pPr>
    </w:p>
    <w:p w14:paraId="7E127F37" w14:textId="7BB8C4DD" w:rsidR="00840C56" w:rsidRPr="00737B74" w:rsidRDefault="009C2E0F" w:rsidP="00CC13CA">
      <w:pPr>
        <w:pStyle w:val="Prrafodelista"/>
        <w:ind w:left="567"/>
        <w:jc w:val="both"/>
        <w:outlineLvl w:val="0"/>
        <w:rPr>
          <w:rFonts w:ascii="Verdana" w:eastAsia="Times New Roman" w:hAnsi="Verdana" w:cs="Calibri"/>
          <w:i/>
          <w:iCs/>
          <w:color w:val="000000"/>
          <w:sz w:val="20"/>
          <w:szCs w:val="20"/>
          <w:lang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00FC7196" w:rsidRPr="00FC7196">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311A8E37" w14:textId="77777777" w:rsidR="00CC13CA" w:rsidRDefault="00CC13CA" w:rsidP="00CC13CA">
      <w:pPr>
        <w:pStyle w:val="Prrafodelista"/>
        <w:ind w:left="567"/>
        <w:jc w:val="both"/>
        <w:outlineLvl w:val="0"/>
        <w:rPr>
          <w:rFonts w:ascii="Verdana" w:hAnsi="Verdana"/>
          <w:bCs/>
          <w:sz w:val="20"/>
          <w:szCs w:val="20"/>
        </w:rPr>
      </w:pPr>
    </w:p>
    <w:p w14:paraId="13C275ED" w14:textId="5E3A4F0F" w:rsidR="000F494B" w:rsidRDefault="00737B74" w:rsidP="00627F09">
      <w:pPr>
        <w:pStyle w:val="Prrafodelista"/>
        <w:ind w:left="567"/>
        <w:jc w:val="both"/>
        <w:outlineLvl w:val="0"/>
        <w:rPr>
          <w:rFonts w:ascii="Verdana" w:hAnsi="Verdana"/>
          <w:bCs/>
          <w:sz w:val="20"/>
          <w:szCs w:val="20"/>
        </w:rPr>
      </w:pPr>
      <w:r>
        <w:rPr>
          <w:rFonts w:ascii="Verdana" w:hAnsi="Verdana"/>
          <w:bCs/>
          <w:sz w:val="20"/>
          <w:szCs w:val="20"/>
        </w:rPr>
        <w:t>En cualquier caso, el código de identificación con el prefijo respectivo debe ser consistente en los 3 insumos que conforman el reporte</w:t>
      </w:r>
      <w:r w:rsidR="00627F09">
        <w:rPr>
          <w:rFonts w:ascii="Verdana" w:hAnsi="Verdana"/>
          <w:bCs/>
          <w:sz w:val="20"/>
          <w:szCs w:val="20"/>
        </w:rPr>
        <w:t xml:space="preserve"> del MURIC</w:t>
      </w:r>
      <w:r w:rsidR="00B855AC">
        <w:rPr>
          <w:rFonts w:ascii="Verdana" w:hAnsi="Verdana"/>
          <w:bCs/>
          <w:sz w:val="20"/>
          <w:szCs w:val="20"/>
        </w:rPr>
        <w:t>.</w:t>
      </w:r>
    </w:p>
    <w:p w14:paraId="4073044F" w14:textId="77777777" w:rsidR="00627F09" w:rsidRPr="00075DE0" w:rsidRDefault="00627F09" w:rsidP="00627F09">
      <w:pPr>
        <w:pStyle w:val="Prrafodelista"/>
        <w:ind w:left="567"/>
        <w:jc w:val="both"/>
        <w:outlineLvl w:val="0"/>
        <w:rPr>
          <w:rFonts w:ascii="Verdana" w:hAnsi="Verdana"/>
          <w:bCs/>
          <w:sz w:val="20"/>
          <w:szCs w:val="20"/>
        </w:rPr>
      </w:pPr>
    </w:p>
    <w:p w14:paraId="48D406F7" w14:textId="478711FB" w:rsidR="00F62B25" w:rsidRDefault="00CF627D" w:rsidP="00627F09">
      <w:pPr>
        <w:pStyle w:val="Prrafodelista"/>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Para </w:t>
      </w:r>
      <w:r w:rsidR="00221BE7">
        <w:rPr>
          <w:rFonts w:ascii="Verdana" w:hAnsi="Verdana"/>
          <w:bCs/>
          <w:sz w:val="20"/>
          <w:szCs w:val="20"/>
        </w:rPr>
        <w:t xml:space="preserve">el caso de las operaciones de </w:t>
      </w:r>
      <w:r w:rsidRPr="00075DE0">
        <w:rPr>
          <w:rFonts w:ascii="Verdana" w:hAnsi="Verdana"/>
          <w:bCs/>
          <w:sz w:val="20"/>
          <w:szCs w:val="20"/>
        </w:rPr>
        <w:t xml:space="preserve">leasing, </w:t>
      </w:r>
      <w:r w:rsidR="007F5F5C">
        <w:rPr>
          <w:rFonts w:ascii="Verdana" w:hAnsi="Verdana"/>
          <w:bCs/>
          <w:sz w:val="20"/>
          <w:szCs w:val="20"/>
        </w:rPr>
        <w:t>se deben reportar las operaciones que sean reconocidas en l</w:t>
      </w:r>
      <w:r w:rsidR="001B6BC8">
        <w:rPr>
          <w:rFonts w:ascii="Verdana" w:hAnsi="Verdana"/>
          <w:bCs/>
          <w:sz w:val="20"/>
          <w:szCs w:val="20"/>
        </w:rPr>
        <w:t>o</w:t>
      </w:r>
      <w:r w:rsidR="007F5F5C">
        <w:rPr>
          <w:rFonts w:ascii="Verdana" w:hAnsi="Verdana"/>
          <w:bCs/>
          <w:sz w:val="20"/>
          <w:szCs w:val="20"/>
        </w:rPr>
        <w:t xml:space="preserve">s </w:t>
      </w:r>
      <w:r w:rsidR="001B6BC8">
        <w:rPr>
          <w:rFonts w:ascii="Verdana" w:hAnsi="Verdana"/>
          <w:bCs/>
          <w:sz w:val="20"/>
          <w:szCs w:val="20"/>
        </w:rPr>
        <w:t>códigos</w:t>
      </w:r>
      <w:r w:rsidR="007F5F5C">
        <w:rPr>
          <w:rFonts w:ascii="Verdana" w:hAnsi="Verdana"/>
          <w:bCs/>
          <w:sz w:val="20"/>
          <w:szCs w:val="20"/>
        </w:rPr>
        <w:t xml:space="preserve"> de cartera del CUIF</w:t>
      </w:r>
      <w:r w:rsidR="005A77F1">
        <w:rPr>
          <w:rFonts w:ascii="Verdana" w:hAnsi="Verdana"/>
          <w:bCs/>
          <w:sz w:val="20"/>
          <w:szCs w:val="20"/>
        </w:rPr>
        <w:t xml:space="preserve">, de acuerdo con las instrucciones del </w:t>
      </w:r>
      <w:r w:rsidR="002D6E8B">
        <w:rPr>
          <w:rFonts w:ascii="Verdana" w:hAnsi="Verdana"/>
          <w:bCs/>
          <w:sz w:val="20"/>
          <w:szCs w:val="20"/>
        </w:rPr>
        <w:t>c</w:t>
      </w:r>
      <w:r w:rsidR="005A77F1">
        <w:rPr>
          <w:rFonts w:ascii="Verdana" w:hAnsi="Verdana"/>
          <w:bCs/>
          <w:sz w:val="20"/>
          <w:szCs w:val="20"/>
        </w:rPr>
        <w:t xml:space="preserve">apítulo XXXI </w:t>
      </w:r>
      <w:r w:rsidR="004475A0" w:rsidRPr="00851FD9">
        <w:rPr>
          <w:rFonts w:ascii="Verdana" w:eastAsia="Times New Roman" w:hAnsi="Verdana" w:cs="Calibri"/>
          <w:color w:val="000000"/>
          <w:sz w:val="20"/>
          <w:szCs w:val="20"/>
          <w:lang w:eastAsia="es-CO"/>
        </w:rPr>
        <w:t>«Sistema Integral de Administración de Riesgos (SIAR)»</w:t>
      </w:r>
      <w:r w:rsidR="004475A0">
        <w:rPr>
          <w:rFonts w:ascii="Verdana" w:eastAsia="Times New Roman" w:hAnsi="Verdana" w:cs="Calibri"/>
          <w:color w:val="000000"/>
          <w:sz w:val="20"/>
          <w:szCs w:val="20"/>
          <w:lang w:eastAsia="es-CO"/>
        </w:rPr>
        <w:t xml:space="preserve"> </w:t>
      </w:r>
      <w:r w:rsidR="005A77F1">
        <w:rPr>
          <w:rFonts w:ascii="Verdana" w:hAnsi="Verdana"/>
          <w:bCs/>
          <w:sz w:val="20"/>
          <w:szCs w:val="20"/>
        </w:rPr>
        <w:t>de la C</w:t>
      </w:r>
      <w:r w:rsidR="005E019E">
        <w:rPr>
          <w:rFonts w:ascii="Verdana" w:hAnsi="Verdana"/>
          <w:bCs/>
          <w:sz w:val="20"/>
          <w:szCs w:val="20"/>
        </w:rPr>
        <w:t xml:space="preserve">ircular </w:t>
      </w:r>
      <w:r w:rsidR="005A77F1">
        <w:rPr>
          <w:rFonts w:ascii="Verdana" w:hAnsi="Verdana"/>
          <w:bCs/>
          <w:sz w:val="20"/>
          <w:szCs w:val="20"/>
        </w:rPr>
        <w:t>B</w:t>
      </w:r>
      <w:r w:rsidR="005E019E">
        <w:rPr>
          <w:rFonts w:ascii="Verdana" w:hAnsi="Verdana"/>
          <w:bCs/>
          <w:sz w:val="20"/>
          <w:szCs w:val="20"/>
        </w:rPr>
        <w:t xml:space="preserve">ásica </w:t>
      </w:r>
      <w:r w:rsidR="005A77F1">
        <w:rPr>
          <w:rFonts w:ascii="Verdana" w:hAnsi="Verdana"/>
          <w:bCs/>
          <w:sz w:val="20"/>
          <w:szCs w:val="20"/>
        </w:rPr>
        <w:t>C</w:t>
      </w:r>
      <w:r w:rsidR="005E019E">
        <w:rPr>
          <w:rFonts w:ascii="Verdana" w:hAnsi="Verdana"/>
          <w:bCs/>
          <w:sz w:val="20"/>
          <w:szCs w:val="20"/>
        </w:rPr>
        <w:t xml:space="preserve">ontable y </w:t>
      </w:r>
      <w:r w:rsidR="005A77F1">
        <w:rPr>
          <w:rFonts w:ascii="Verdana" w:hAnsi="Verdana"/>
          <w:bCs/>
          <w:sz w:val="20"/>
          <w:szCs w:val="20"/>
        </w:rPr>
        <w:t>F</w:t>
      </w:r>
      <w:r w:rsidR="005E019E">
        <w:rPr>
          <w:rFonts w:ascii="Verdana" w:hAnsi="Verdana"/>
          <w:bCs/>
          <w:sz w:val="20"/>
          <w:szCs w:val="20"/>
        </w:rPr>
        <w:t>inanciera (CBCF)</w:t>
      </w:r>
      <w:r w:rsidR="00053CB2">
        <w:rPr>
          <w:rFonts w:ascii="Verdana" w:hAnsi="Verdana"/>
          <w:bCs/>
          <w:sz w:val="20"/>
          <w:szCs w:val="20"/>
        </w:rPr>
        <w:t xml:space="preserve">. Para el caso de las </w:t>
      </w:r>
      <w:r w:rsidR="00053CB2">
        <w:rPr>
          <w:rFonts w:ascii="Verdana" w:hAnsi="Verdana"/>
          <w:bCs/>
          <w:sz w:val="20"/>
          <w:szCs w:val="20"/>
        </w:rPr>
        <w:lastRenderedPageBreak/>
        <w:t xml:space="preserve">operaciones </w:t>
      </w:r>
      <w:r w:rsidR="009047DD">
        <w:rPr>
          <w:rFonts w:ascii="Verdana" w:hAnsi="Verdana"/>
          <w:bCs/>
          <w:sz w:val="20"/>
          <w:szCs w:val="20"/>
        </w:rPr>
        <w:t xml:space="preserve">de </w:t>
      </w:r>
      <w:r w:rsidR="00F62B25">
        <w:rPr>
          <w:rFonts w:ascii="Verdana" w:hAnsi="Verdana"/>
          <w:bCs/>
          <w:sz w:val="20"/>
          <w:szCs w:val="20"/>
        </w:rPr>
        <w:t>leasing que no tienen componente de capital e intereses, sino un canon de arre</w:t>
      </w:r>
      <w:r w:rsidR="00406714">
        <w:rPr>
          <w:rFonts w:ascii="Verdana" w:hAnsi="Verdana"/>
          <w:bCs/>
          <w:sz w:val="20"/>
          <w:szCs w:val="20"/>
        </w:rPr>
        <w:t>n</w:t>
      </w:r>
      <w:r w:rsidR="00F62B25">
        <w:rPr>
          <w:rFonts w:ascii="Verdana" w:hAnsi="Verdana"/>
          <w:bCs/>
          <w:sz w:val="20"/>
          <w:szCs w:val="20"/>
        </w:rPr>
        <w:t xml:space="preserve">damiento, </w:t>
      </w:r>
      <w:r w:rsidR="007B5449">
        <w:rPr>
          <w:rFonts w:ascii="Verdana" w:hAnsi="Verdana"/>
          <w:bCs/>
          <w:sz w:val="20"/>
          <w:szCs w:val="20"/>
        </w:rPr>
        <w:t>y que por efectos de los marcos normativos de información financiera del Decreto 2420 de 2015</w:t>
      </w:r>
      <w:r w:rsidR="00497E21">
        <w:rPr>
          <w:rFonts w:ascii="Verdana" w:hAnsi="Verdana"/>
          <w:bCs/>
          <w:sz w:val="20"/>
          <w:szCs w:val="20"/>
        </w:rPr>
        <w:t xml:space="preserve"> se deben reconocer como leasing financiero, el report</w:t>
      </w:r>
      <w:r w:rsidR="0017503C">
        <w:rPr>
          <w:rFonts w:ascii="Verdana" w:hAnsi="Verdana"/>
          <w:bCs/>
          <w:sz w:val="20"/>
          <w:szCs w:val="20"/>
        </w:rPr>
        <w:t>e</w:t>
      </w:r>
      <w:r w:rsidR="00497E21">
        <w:rPr>
          <w:rFonts w:ascii="Verdana" w:hAnsi="Verdana"/>
          <w:bCs/>
          <w:sz w:val="20"/>
          <w:szCs w:val="20"/>
        </w:rPr>
        <w:t xml:space="preserve"> del valor total de la operació</w:t>
      </w:r>
      <w:r w:rsidR="00497E21" w:rsidRPr="00267730">
        <w:rPr>
          <w:rFonts w:ascii="Verdana" w:hAnsi="Verdana"/>
          <w:bCs/>
          <w:sz w:val="20"/>
          <w:szCs w:val="20"/>
        </w:rPr>
        <w:t xml:space="preserve">n </w:t>
      </w:r>
      <w:r w:rsidR="0017503C" w:rsidRPr="00267730">
        <w:rPr>
          <w:rFonts w:ascii="Verdana" w:hAnsi="Verdana"/>
          <w:bCs/>
          <w:sz w:val="20"/>
          <w:szCs w:val="20"/>
        </w:rPr>
        <w:t xml:space="preserve">se debe reportar </w:t>
      </w:r>
      <w:r w:rsidR="00267730" w:rsidRPr="00A83864">
        <w:rPr>
          <w:rFonts w:ascii="Verdana" w:hAnsi="Verdana"/>
          <w:bCs/>
          <w:sz w:val="20"/>
          <w:szCs w:val="20"/>
        </w:rPr>
        <w:t xml:space="preserve">en la variable </w:t>
      </w:r>
      <w:r w:rsidR="00267730" w:rsidRPr="00267730">
        <w:rPr>
          <w:rFonts w:ascii="Verdana" w:hAnsi="Verdana"/>
          <w:bCs/>
          <w:sz w:val="20"/>
          <w:szCs w:val="20"/>
        </w:rPr>
        <w:t>«</w:t>
      </w:r>
      <w:r w:rsidR="00884B7E">
        <w:rPr>
          <w:rFonts w:ascii="Verdana" w:hAnsi="Verdana"/>
          <w:sz w:val="20"/>
          <w:szCs w:val="20"/>
        </w:rPr>
        <w:t>Capital</w:t>
      </w:r>
      <w:r w:rsidR="00267730" w:rsidRPr="00267730">
        <w:rPr>
          <w:rFonts w:ascii="Verdana" w:hAnsi="Verdana"/>
          <w:bCs/>
          <w:sz w:val="20"/>
          <w:szCs w:val="20"/>
        </w:rPr>
        <w:t>»</w:t>
      </w:r>
      <w:r w:rsidR="005E5316">
        <w:rPr>
          <w:rFonts w:ascii="Verdana" w:hAnsi="Verdana"/>
          <w:bCs/>
          <w:sz w:val="20"/>
          <w:szCs w:val="20"/>
        </w:rPr>
        <w:t xml:space="preserve"> del </w:t>
      </w:r>
      <w:r w:rsidR="005E5316" w:rsidRPr="008D188D">
        <w:rPr>
          <w:rFonts w:ascii="Verdana" w:hAnsi="Verdana"/>
          <w:sz w:val="20"/>
          <w:szCs w:val="20"/>
        </w:rPr>
        <w:t xml:space="preserve">insumo </w:t>
      </w:r>
      <w:r w:rsidR="005E5316" w:rsidRPr="008D188D">
        <w:rPr>
          <w:rFonts w:ascii="Verdana" w:hAnsi="Verdana"/>
          <w:bCs/>
          <w:sz w:val="20"/>
          <w:szCs w:val="20"/>
        </w:rPr>
        <w:t>«</w:t>
      </w:r>
      <w:r w:rsidR="005E5316">
        <w:rPr>
          <w:rFonts w:ascii="Verdana" w:hAnsi="Verdana"/>
          <w:bCs/>
          <w:sz w:val="20"/>
          <w:szCs w:val="20"/>
        </w:rPr>
        <w:t>M</w:t>
      </w:r>
      <w:r w:rsidR="005E5316" w:rsidRPr="008D188D">
        <w:rPr>
          <w:rFonts w:ascii="Verdana" w:hAnsi="Verdana"/>
          <w:sz w:val="20"/>
          <w:szCs w:val="20"/>
        </w:rPr>
        <w:t>ovimientos de cartera</w:t>
      </w:r>
      <w:r w:rsidR="005E5316" w:rsidRPr="008D188D">
        <w:rPr>
          <w:rFonts w:ascii="Verdana" w:hAnsi="Verdana"/>
          <w:bCs/>
          <w:sz w:val="20"/>
          <w:szCs w:val="20"/>
        </w:rPr>
        <w:t xml:space="preserve">» </w:t>
      </w:r>
      <w:r w:rsidR="00527A3B" w:rsidRPr="00B32579">
        <w:rPr>
          <w:rFonts w:ascii="Verdana" w:hAnsi="Verdana"/>
          <w:bCs/>
          <w:sz w:val="20"/>
          <w:szCs w:val="20"/>
        </w:rPr>
        <w:t xml:space="preserve">(MURIC-001-003) </w:t>
      </w:r>
      <w:r w:rsidR="0017503C" w:rsidRPr="00267730">
        <w:rPr>
          <w:rFonts w:ascii="Verdana" w:hAnsi="Verdana"/>
          <w:bCs/>
          <w:sz w:val="20"/>
          <w:szCs w:val="20"/>
        </w:rPr>
        <w:t xml:space="preserve">y el canon periódico </w:t>
      </w:r>
      <w:r w:rsidR="00267730" w:rsidRPr="00267730">
        <w:rPr>
          <w:rFonts w:ascii="Verdana" w:hAnsi="Verdana"/>
          <w:bCs/>
          <w:sz w:val="20"/>
          <w:szCs w:val="20"/>
        </w:rPr>
        <w:t>en la</w:t>
      </w:r>
      <w:r w:rsidR="00267730">
        <w:rPr>
          <w:rFonts w:ascii="Verdana" w:hAnsi="Verdana"/>
          <w:bCs/>
          <w:sz w:val="20"/>
          <w:szCs w:val="20"/>
        </w:rPr>
        <w:t xml:space="preserve"> variable </w:t>
      </w:r>
      <w:r w:rsidR="00267730" w:rsidRPr="00D720A8">
        <w:rPr>
          <w:rFonts w:ascii="Verdana" w:hAnsi="Verdana"/>
          <w:bCs/>
          <w:sz w:val="20"/>
          <w:szCs w:val="20"/>
        </w:rPr>
        <w:t>«</w:t>
      </w:r>
      <w:r w:rsidR="003E3024">
        <w:rPr>
          <w:rFonts w:ascii="Verdana" w:hAnsi="Verdana"/>
          <w:sz w:val="20"/>
          <w:szCs w:val="20"/>
        </w:rPr>
        <w:t>Pagos recibidos capital</w:t>
      </w:r>
      <w:r w:rsidR="00267730" w:rsidRPr="00D720A8">
        <w:rPr>
          <w:rFonts w:ascii="Verdana" w:hAnsi="Verdana"/>
          <w:bCs/>
          <w:sz w:val="20"/>
          <w:szCs w:val="20"/>
        </w:rPr>
        <w:t>»</w:t>
      </w:r>
      <w:r w:rsidR="003E3024">
        <w:rPr>
          <w:rFonts w:ascii="Verdana" w:hAnsi="Verdana"/>
          <w:bCs/>
          <w:sz w:val="20"/>
          <w:szCs w:val="20"/>
        </w:rPr>
        <w:t xml:space="preserve"> d</w:t>
      </w:r>
      <w:r w:rsidR="003E3024" w:rsidRPr="008D188D">
        <w:rPr>
          <w:rFonts w:ascii="Verdana" w:hAnsi="Verdana"/>
          <w:sz w:val="20"/>
          <w:szCs w:val="20"/>
        </w:rPr>
        <w:t xml:space="preserve">el </w:t>
      </w:r>
      <w:r w:rsidR="009353FB">
        <w:rPr>
          <w:rFonts w:ascii="Verdana" w:hAnsi="Verdana"/>
          <w:sz w:val="20"/>
          <w:szCs w:val="20"/>
        </w:rPr>
        <w:t xml:space="preserve">mismo </w:t>
      </w:r>
      <w:r w:rsidR="003E3024" w:rsidRPr="008D188D">
        <w:rPr>
          <w:rFonts w:ascii="Verdana" w:hAnsi="Verdana"/>
          <w:sz w:val="20"/>
          <w:szCs w:val="20"/>
        </w:rPr>
        <w:t>insumo</w:t>
      </w:r>
      <w:r w:rsidR="009353FB">
        <w:rPr>
          <w:rFonts w:ascii="Verdana" w:hAnsi="Verdana"/>
          <w:sz w:val="20"/>
          <w:szCs w:val="20"/>
        </w:rPr>
        <w:t>.</w:t>
      </w:r>
      <w:r w:rsidR="003E3024" w:rsidRPr="008D188D">
        <w:rPr>
          <w:rFonts w:ascii="Verdana" w:hAnsi="Verdana"/>
          <w:sz w:val="20"/>
          <w:szCs w:val="20"/>
        </w:rPr>
        <w:t xml:space="preserve"> </w:t>
      </w:r>
    </w:p>
    <w:p w14:paraId="01C43A7A" w14:textId="77777777" w:rsidR="00CF627D" w:rsidRPr="00075DE0" w:rsidRDefault="00CF627D" w:rsidP="00CF627D">
      <w:pPr>
        <w:pStyle w:val="Prrafodelista"/>
        <w:ind w:left="502"/>
        <w:jc w:val="both"/>
        <w:outlineLvl w:val="0"/>
        <w:rPr>
          <w:rFonts w:ascii="Verdana" w:hAnsi="Verdana"/>
          <w:bCs/>
          <w:sz w:val="20"/>
          <w:szCs w:val="20"/>
        </w:rPr>
      </w:pPr>
    </w:p>
    <w:p w14:paraId="60041969" w14:textId="77777777" w:rsidR="00CF627D" w:rsidRPr="00075DE0" w:rsidRDefault="00CF627D" w:rsidP="00B855AC">
      <w:pPr>
        <w:pStyle w:val="Prrafodelista"/>
        <w:numPr>
          <w:ilvl w:val="0"/>
          <w:numId w:val="10"/>
        </w:numPr>
        <w:ind w:left="567" w:hanging="567"/>
        <w:jc w:val="both"/>
        <w:outlineLvl w:val="0"/>
        <w:rPr>
          <w:rFonts w:ascii="Verdana" w:hAnsi="Verdana"/>
          <w:sz w:val="20"/>
          <w:szCs w:val="20"/>
        </w:rPr>
      </w:pPr>
      <w:r w:rsidRPr="00075DE0">
        <w:rPr>
          <w:rFonts w:ascii="Verdana" w:hAnsi="Verdana"/>
          <w:sz w:val="20"/>
          <w:szCs w:val="20"/>
        </w:rPr>
        <w:t>Consolidación de operaciones en un nuevo crédito:</w:t>
      </w:r>
    </w:p>
    <w:p w14:paraId="184FA8BE" w14:textId="77777777" w:rsidR="00CF627D" w:rsidRPr="00075DE0" w:rsidRDefault="00CF627D" w:rsidP="00CF627D">
      <w:pPr>
        <w:pStyle w:val="Prrafodelista"/>
        <w:ind w:left="502"/>
        <w:jc w:val="both"/>
        <w:outlineLvl w:val="0"/>
        <w:rPr>
          <w:rFonts w:ascii="Verdana" w:hAnsi="Verdana"/>
          <w:sz w:val="20"/>
          <w:szCs w:val="20"/>
        </w:rPr>
      </w:pPr>
    </w:p>
    <w:p w14:paraId="4309321A" w14:textId="757443B8" w:rsidR="00CF627D" w:rsidRPr="00D720A8" w:rsidRDefault="00CF627D" w:rsidP="00B855AC">
      <w:pPr>
        <w:pStyle w:val="Prrafodelista"/>
        <w:ind w:left="567"/>
        <w:jc w:val="both"/>
        <w:outlineLvl w:val="0"/>
        <w:rPr>
          <w:rFonts w:ascii="Verdana" w:hAnsi="Verdana"/>
          <w:sz w:val="20"/>
          <w:szCs w:val="20"/>
        </w:rPr>
      </w:pPr>
      <w:r w:rsidRPr="00D720A8">
        <w:rPr>
          <w:rFonts w:ascii="Verdana" w:hAnsi="Verdana"/>
          <w:sz w:val="20"/>
          <w:szCs w:val="20"/>
        </w:rPr>
        <w:t xml:space="preserve">En </w:t>
      </w:r>
      <w:r w:rsidR="00F973E7">
        <w:rPr>
          <w:rFonts w:ascii="Verdana" w:hAnsi="Verdana"/>
          <w:sz w:val="20"/>
          <w:szCs w:val="20"/>
        </w:rPr>
        <w:t>la hoja</w:t>
      </w:r>
      <w:r w:rsidR="00977EF7">
        <w:rPr>
          <w:rFonts w:ascii="Verdana" w:hAnsi="Verdana"/>
          <w:sz w:val="20"/>
          <w:szCs w:val="20"/>
        </w:rPr>
        <w:t xml:space="preserve"> </w:t>
      </w:r>
      <w:r w:rsidR="00977EF7" w:rsidRPr="00D720A8">
        <w:rPr>
          <w:rFonts w:ascii="Verdana" w:hAnsi="Verdana"/>
          <w:bCs/>
          <w:sz w:val="20"/>
          <w:szCs w:val="20"/>
        </w:rPr>
        <w:t>«</w:t>
      </w:r>
      <w:r w:rsidR="00977EF7" w:rsidRPr="00D720A8">
        <w:rPr>
          <w:rFonts w:ascii="Verdana" w:hAnsi="Verdana"/>
          <w:sz w:val="20"/>
          <w:szCs w:val="20"/>
        </w:rPr>
        <w:t>Atributos</w:t>
      </w:r>
      <w:r w:rsidR="00977EF7" w:rsidRPr="00D720A8">
        <w:rPr>
          <w:rFonts w:ascii="Verdana" w:hAnsi="Verdana"/>
          <w:bCs/>
          <w:sz w:val="20"/>
          <w:szCs w:val="20"/>
        </w:rPr>
        <w:t xml:space="preserve">» </w:t>
      </w:r>
      <w:r w:rsidR="00977EF7">
        <w:rPr>
          <w:rFonts w:ascii="Verdana" w:hAnsi="Verdana"/>
          <w:sz w:val="20"/>
          <w:szCs w:val="20"/>
        </w:rPr>
        <w:t xml:space="preserve">de </w:t>
      </w:r>
      <w:r w:rsidRPr="00D720A8">
        <w:rPr>
          <w:rFonts w:ascii="Verdana" w:hAnsi="Verdana"/>
          <w:sz w:val="20"/>
          <w:szCs w:val="20"/>
        </w:rPr>
        <w:t xml:space="preserve">la tabla </w:t>
      </w:r>
      <w:r w:rsidR="0036400A" w:rsidRPr="00D720A8">
        <w:rPr>
          <w:rFonts w:ascii="Verdana" w:hAnsi="Verdana"/>
          <w:bCs/>
          <w:sz w:val="20"/>
          <w:szCs w:val="20"/>
        </w:rPr>
        <w:t>«</w:t>
      </w:r>
      <w:r w:rsidRPr="00D720A8">
        <w:rPr>
          <w:rFonts w:ascii="Verdana" w:hAnsi="Verdana"/>
          <w:sz w:val="20"/>
          <w:szCs w:val="20"/>
        </w:rPr>
        <w:t>Atributos de crédito</w:t>
      </w:r>
      <w:r w:rsidR="0036400A" w:rsidRPr="00D720A8">
        <w:rPr>
          <w:rFonts w:ascii="Verdana" w:hAnsi="Verdana"/>
          <w:bCs/>
          <w:sz w:val="20"/>
          <w:szCs w:val="20"/>
        </w:rPr>
        <w:t>» (disponible en la página web de la SFC)</w:t>
      </w:r>
      <w:r w:rsidRPr="00D720A8">
        <w:rPr>
          <w:rFonts w:ascii="Verdana" w:hAnsi="Verdana"/>
          <w:sz w:val="20"/>
          <w:szCs w:val="20"/>
        </w:rPr>
        <w:t>, los códigos de atributos 1</w:t>
      </w:r>
      <w:r w:rsidR="00073C52">
        <w:rPr>
          <w:rFonts w:ascii="Verdana" w:hAnsi="Verdana"/>
          <w:sz w:val="20"/>
          <w:szCs w:val="20"/>
        </w:rPr>
        <w:t>7</w:t>
      </w:r>
      <w:r w:rsidRPr="00D720A8">
        <w:rPr>
          <w:rFonts w:ascii="Verdana" w:hAnsi="Verdana"/>
          <w:sz w:val="20"/>
          <w:szCs w:val="20"/>
        </w:rPr>
        <w:t xml:space="preserve"> </w:t>
      </w:r>
      <w:r w:rsidR="000B63DC" w:rsidRPr="00D720A8">
        <w:rPr>
          <w:rFonts w:ascii="Verdana" w:hAnsi="Verdana"/>
          <w:sz w:val="20"/>
          <w:szCs w:val="20"/>
        </w:rPr>
        <w:t xml:space="preserve">(Tipo de consolidación) </w:t>
      </w:r>
      <w:r w:rsidRPr="00D720A8">
        <w:rPr>
          <w:rFonts w:ascii="Verdana" w:hAnsi="Verdana"/>
          <w:sz w:val="20"/>
          <w:szCs w:val="20"/>
        </w:rPr>
        <w:t>y 1</w:t>
      </w:r>
      <w:r w:rsidR="00073C52">
        <w:rPr>
          <w:rFonts w:ascii="Verdana" w:hAnsi="Verdana"/>
          <w:sz w:val="20"/>
          <w:szCs w:val="20"/>
        </w:rPr>
        <w:t>8</w:t>
      </w:r>
      <w:r w:rsidRPr="00D720A8">
        <w:rPr>
          <w:rFonts w:ascii="Verdana" w:hAnsi="Verdana"/>
          <w:sz w:val="20"/>
          <w:szCs w:val="20"/>
        </w:rPr>
        <w:t xml:space="preserve"> </w:t>
      </w:r>
      <w:r w:rsidR="000B63DC" w:rsidRPr="00D720A8">
        <w:rPr>
          <w:rFonts w:ascii="Verdana" w:hAnsi="Verdana"/>
          <w:sz w:val="20"/>
          <w:szCs w:val="20"/>
        </w:rPr>
        <w:t xml:space="preserve">(Id </w:t>
      </w:r>
      <w:r w:rsidR="000474E5" w:rsidRPr="00D720A8">
        <w:rPr>
          <w:rFonts w:ascii="Verdana" w:hAnsi="Verdana"/>
          <w:sz w:val="20"/>
          <w:szCs w:val="20"/>
        </w:rPr>
        <w:t>c</w:t>
      </w:r>
      <w:r w:rsidR="000B63DC" w:rsidRPr="00D720A8">
        <w:rPr>
          <w:rFonts w:ascii="Verdana" w:hAnsi="Verdana"/>
          <w:sz w:val="20"/>
          <w:szCs w:val="20"/>
        </w:rPr>
        <w:t xml:space="preserve">rédito </w:t>
      </w:r>
      <w:r w:rsidR="000474E5" w:rsidRPr="00D720A8">
        <w:rPr>
          <w:rFonts w:ascii="Verdana" w:hAnsi="Verdana"/>
          <w:sz w:val="20"/>
          <w:szCs w:val="20"/>
        </w:rPr>
        <w:t>p</w:t>
      </w:r>
      <w:r w:rsidR="00107524" w:rsidRPr="00D720A8">
        <w:rPr>
          <w:rFonts w:ascii="Verdana" w:hAnsi="Verdana"/>
          <w:sz w:val="20"/>
          <w:szCs w:val="20"/>
        </w:rPr>
        <w:t>adre</w:t>
      </w:r>
      <w:r w:rsidR="000B63DC" w:rsidRPr="00D720A8">
        <w:rPr>
          <w:rFonts w:ascii="Verdana" w:hAnsi="Verdana"/>
          <w:sz w:val="20"/>
          <w:szCs w:val="20"/>
        </w:rPr>
        <w:t xml:space="preserve">) </w:t>
      </w:r>
      <w:r w:rsidRPr="00D720A8">
        <w:rPr>
          <w:rFonts w:ascii="Verdana" w:hAnsi="Verdana"/>
          <w:sz w:val="20"/>
          <w:szCs w:val="20"/>
        </w:rPr>
        <w:t>se utilizan para dar seguimiento a las operaciones que han sido consolidadas, modificadas o reestructuradas. El atributo 1</w:t>
      </w:r>
      <w:r w:rsidR="00073C52">
        <w:rPr>
          <w:rFonts w:ascii="Verdana" w:hAnsi="Verdana"/>
          <w:sz w:val="20"/>
          <w:szCs w:val="20"/>
        </w:rPr>
        <w:t>7</w:t>
      </w:r>
      <w:r w:rsidRPr="00D720A8">
        <w:rPr>
          <w:rFonts w:ascii="Verdana" w:hAnsi="Verdana"/>
          <w:sz w:val="20"/>
          <w:szCs w:val="20"/>
        </w:rPr>
        <w:t xml:space="preserve"> permite </w:t>
      </w:r>
      <w:r w:rsidR="006C5863" w:rsidRPr="00D720A8">
        <w:rPr>
          <w:rFonts w:ascii="Verdana" w:hAnsi="Verdana"/>
          <w:sz w:val="20"/>
          <w:szCs w:val="20"/>
        </w:rPr>
        <w:t xml:space="preserve">identificar las operaciones que son objeto de consolidación </w:t>
      </w:r>
      <w:r w:rsidRPr="00D720A8">
        <w:rPr>
          <w:rFonts w:ascii="Verdana" w:hAnsi="Verdana"/>
          <w:sz w:val="20"/>
          <w:szCs w:val="20"/>
        </w:rPr>
        <w:t>y el atributo 1</w:t>
      </w:r>
      <w:r w:rsidR="00073C52">
        <w:rPr>
          <w:rFonts w:ascii="Verdana" w:hAnsi="Verdana"/>
          <w:sz w:val="20"/>
          <w:szCs w:val="20"/>
        </w:rPr>
        <w:t>8</w:t>
      </w:r>
      <w:r w:rsidRPr="00D720A8">
        <w:rPr>
          <w:rFonts w:ascii="Verdana" w:hAnsi="Verdana"/>
          <w:sz w:val="20"/>
          <w:szCs w:val="20"/>
        </w:rPr>
        <w:t xml:space="preserve"> se usa para identificar </w:t>
      </w:r>
      <w:r w:rsidR="00D720A8" w:rsidRPr="00D720A8">
        <w:rPr>
          <w:rFonts w:ascii="Verdana" w:hAnsi="Verdana"/>
          <w:sz w:val="20"/>
          <w:szCs w:val="20"/>
        </w:rPr>
        <w:t xml:space="preserve">los créditos padres (operaciones </w:t>
      </w:r>
      <w:r w:rsidR="006C5863" w:rsidRPr="00D720A8">
        <w:rPr>
          <w:rFonts w:ascii="Verdana" w:hAnsi="Verdana"/>
          <w:sz w:val="20"/>
          <w:szCs w:val="20"/>
        </w:rPr>
        <w:t>originales</w:t>
      </w:r>
      <w:r w:rsidR="00D720A8" w:rsidRPr="00D720A8">
        <w:rPr>
          <w:rFonts w:ascii="Verdana" w:hAnsi="Verdana"/>
          <w:sz w:val="20"/>
          <w:szCs w:val="20"/>
        </w:rPr>
        <w:t>)</w:t>
      </w:r>
      <w:r w:rsidRPr="00D720A8">
        <w:rPr>
          <w:rFonts w:ascii="Verdana" w:hAnsi="Verdana"/>
          <w:sz w:val="20"/>
          <w:szCs w:val="20"/>
        </w:rPr>
        <w:t>. Si una operación tiene múltiples créditos</w:t>
      </w:r>
      <w:r w:rsidR="006C5863" w:rsidRPr="00D720A8">
        <w:rPr>
          <w:rFonts w:ascii="Verdana" w:hAnsi="Verdana"/>
          <w:sz w:val="20"/>
          <w:szCs w:val="20"/>
        </w:rPr>
        <w:t xml:space="preserve"> </w:t>
      </w:r>
      <w:r w:rsidR="00D720A8" w:rsidRPr="00D720A8">
        <w:rPr>
          <w:rFonts w:ascii="Verdana" w:hAnsi="Verdana"/>
          <w:sz w:val="20"/>
          <w:szCs w:val="20"/>
        </w:rPr>
        <w:t>padres</w:t>
      </w:r>
      <w:r w:rsidRPr="00D720A8">
        <w:rPr>
          <w:rFonts w:ascii="Verdana" w:hAnsi="Verdana"/>
          <w:sz w:val="20"/>
          <w:szCs w:val="20"/>
        </w:rPr>
        <w:t>, el atributo 1</w:t>
      </w:r>
      <w:r w:rsidR="00073C52">
        <w:rPr>
          <w:rFonts w:ascii="Verdana" w:hAnsi="Verdana"/>
          <w:sz w:val="20"/>
          <w:szCs w:val="20"/>
        </w:rPr>
        <w:t>8</w:t>
      </w:r>
      <w:r w:rsidRPr="00D720A8">
        <w:rPr>
          <w:rFonts w:ascii="Verdana" w:hAnsi="Verdana"/>
          <w:sz w:val="20"/>
          <w:szCs w:val="20"/>
        </w:rPr>
        <w:t xml:space="preserve"> debe replicarse tantas veces como sea necesario.</w:t>
      </w:r>
    </w:p>
    <w:p w14:paraId="52D3E84F" w14:textId="77777777" w:rsidR="00CF627D" w:rsidRPr="00663431" w:rsidRDefault="00CF627D" w:rsidP="00CF627D">
      <w:pPr>
        <w:pStyle w:val="Prrafodelista"/>
        <w:ind w:left="502"/>
        <w:jc w:val="both"/>
        <w:outlineLvl w:val="0"/>
        <w:rPr>
          <w:rFonts w:ascii="Verdana" w:hAnsi="Verdana"/>
          <w:color w:val="FF0000"/>
          <w:sz w:val="20"/>
          <w:szCs w:val="20"/>
        </w:rPr>
      </w:pPr>
    </w:p>
    <w:p w14:paraId="268408E0" w14:textId="6F22E1AE" w:rsidR="00CF627D" w:rsidRPr="008D188D" w:rsidRDefault="00CF627D" w:rsidP="00C7045F">
      <w:pPr>
        <w:pStyle w:val="Prrafodelista"/>
        <w:numPr>
          <w:ilvl w:val="1"/>
          <w:numId w:val="10"/>
        </w:numPr>
        <w:ind w:left="1134" w:hanging="567"/>
        <w:jc w:val="both"/>
        <w:outlineLvl w:val="0"/>
        <w:rPr>
          <w:rFonts w:ascii="Verdana" w:hAnsi="Verdana"/>
          <w:sz w:val="20"/>
          <w:szCs w:val="20"/>
        </w:rPr>
      </w:pPr>
      <w:r w:rsidRPr="008D188D">
        <w:rPr>
          <w:rFonts w:ascii="Verdana" w:hAnsi="Verdana"/>
          <w:sz w:val="20"/>
          <w:szCs w:val="20"/>
        </w:rPr>
        <w:t xml:space="preserve">En caso de consolidar una o varias operaciones </w:t>
      </w:r>
      <w:r w:rsidR="00F02F06" w:rsidRPr="008D188D">
        <w:rPr>
          <w:rFonts w:ascii="Verdana" w:hAnsi="Verdana"/>
          <w:sz w:val="20"/>
          <w:szCs w:val="20"/>
        </w:rPr>
        <w:t xml:space="preserve">originales </w:t>
      </w:r>
      <w:r w:rsidR="0010790A" w:rsidRPr="008D188D">
        <w:rPr>
          <w:rFonts w:ascii="Verdana" w:hAnsi="Verdana"/>
          <w:sz w:val="20"/>
          <w:szCs w:val="20"/>
        </w:rPr>
        <w:t xml:space="preserve">(créditos padres) </w:t>
      </w:r>
      <w:r w:rsidRPr="008D188D">
        <w:rPr>
          <w:rFonts w:ascii="Verdana" w:hAnsi="Verdana"/>
          <w:sz w:val="20"/>
          <w:szCs w:val="20"/>
        </w:rPr>
        <w:t xml:space="preserve">en un nuevo crédito, el estado </w:t>
      </w:r>
      <w:r w:rsidR="006746A0" w:rsidRPr="008D188D">
        <w:rPr>
          <w:rFonts w:ascii="Verdana" w:hAnsi="Verdana"/>
          <w:sz w:val="20"/>
          <w:szCs w:val="20"/>
        </w:rPr>
        <w:t xml:space="preserve">de </w:t>
      </w:r>
      <w:r w:rsidR="0010790A" w:rsidRPr="008D188D">
        <w:rPr>
          <w:rFonts w:ascii="Verdana" w:hAnsi="Verdana"/>
          <w:sz w:val="20"/>
          <w:szCs w:val="20"/>
        </w:rPr>
        <w:t>los créditos padres</w:t>
      </w:r>
      <w:r w:rsidR="006746A0" w:rsidRPr="008D188D">
        <w:rPr>
          <w:rFonts w:ascii="Verdana" w:hAnsi="Verdana"/>
          <w:sz w:val="20"/>
          <w:szCs w:val="20"/>
        </w:rPr>
        <w:t xml:space="preserve"> </w:t>
      </w:r>
      <w:r w:rsidR="008D188D">
        <w:rPr>
          <w:rFonts w:ascii="Verdana" w:hAnsi="Verdana"/>
          <w:sz w:val="20"/>
          <w:szCs w:val="20"/>
        </w:rPr>
        <w:t>(</w:t>
      </w:r>
      <w:r w:rsidR="00E657EC" w:rsidRPr="008D188D">
        <w:rPr>
          <w:rFonts w:ascii="Verdana" w:hAnsi="Verdana"/>
          <w:bCs/>
          <w:sz w:val="20"/>
          <w:szCs w:val="20"/>
        </w:rPr>
        <w:t>«</w:t>
      </w:r>
      <w:r w:rsidR="008D188D">
        <w:rPr>
          <w:rFonts w:ascii="Verdana" w:hAnsi="Verdana"/>
          <w:sz w:val="20"/>
          <w:szCs w:val="20"/>
        </w:rPr>
        <w:t>Estado del crédito</w:t>
      </w:r>
      <w:r w:rsidR="00E657EC" w:rsidRPr="008D188D">
        <w:rPr>
          <w:rFonts w:ascii="Verdana" w:hAnsi="Verdana"/>
          <w:bCs/>
          <w:sz w:val="20"/>
          <w:szCs w:val="20"/>
        </w:rPr>
        <w:t>»</w:t>
      </w:r>
      <w:r w:rsidR="008D188D">
        <w:rPr>
          <w:rFonts w:ascii="Verdana" w:hAnsi="Verdana"/>
          <w:sz w:val="20"/>
          <w:szCs w:val="20"/>
        </w:rPr>
        <w:t xml:space="preserve">) </w:t>
      </w:r>
      <w:r w:rsidR="00BA794B">
        <w:rPr>
          <w:rFonts w:ascii="Verdana" w:hAnsi="Verdana"/>
          <w:sz w:val="20"/>
          <w:szCs w:val="20"/>
        </w:rPr>
        <w:t xml:space="preserve">se debe registrar </w:t>
      </w:r>
      <w:r w:rsidRPr="008D188D">
        <w:rPr>
          <w:rFonts w:ascii="Verdana" w:hAnsi="Verdana"/>
          <w:sz w:val="20"/>
          <w:szCs w:val="20"/>
        </w:rPr>
        <w:t xml:space="preserve">como </w:t>
      </w:r>
      <w:r w:rsidR="00324E3F" w:rsidRPr="008D188D">
        <w:rPr>
          <w:rFonts w:ascii="Verdana" w:hAnsi="Verdana"/>
          <w:bCs/>
          <w:sz w:val="20"/>
          <w:szCs w:val="20"/>
        </w:rPr>
        <w:t>«</w:t>
      </w:r>
      <w:r w:rsidRPr="008D188D">
        <w:rPr>
          <w:rFonts w:ascii="Verdana" w:hAnsi="Verdana"/>
          <w:sz w:val="20"/>
          <w:szCs w:val="20"/>
        </w:rPr>
        <w:t>consolidado</w:t>
      </w:r>
      <w:r w:rsidR="00324E3F" w:rsidRPr="008D188D">
        <w:rPr>
          <w:rFonts w:ascii="Verdana" w:hAnsi="Verdana"/>
          <w:bCs/>
          <w:sz w:val="20"/>
          <w:szCs w:val="20"/>
        </w:rPr>
        <w:t>»</w:t>
      </w:r>
      <w:r w:rsidR="00324E3F" w:rsidRPr="008D188D">
        <w:rPr>
          <w:rFonts w:ascii="Verdana" w:hAnsi="Verdana"/>
          <w:sz w:val="20"/>
          <w:szCs w:val="20"/>
        </w:rPr>
        <w:t xml:space="preserve"> </w:t>
      </w:r>
      <w:r w:rsidRPr="008D188D">
        <w:rPr>
          <w:rFonts w:ascii="Verdana" w:hAnsi="Verdana"/>
          <w:sz w:val="20"/>
          <w:szCs w:val="20"/>
        </w:rPr>
        <w:t xml:space="preserve">en el insumo </w:t>
      </w:r>
      <w:r w:rsidR="002D2C97" w:rsidRPr="008D188D">
        <w:rPr>
          <w:rFonts w:ascii="Verdana" w:hAnsi="Verdana"/>
          <w:bCs/>
          <w:sz w:val="20"/>
          <w:szCs w:val="20"/>
        </w:rPr>
        <w:t>«</w:t>
      </w:r>
      <w:r w:rsidR="00643E6F">
        <w:rPr>
          <w:rFonts w:ascii="Verdana" w:hAnsi="Verdana"/>
          <w:bCs/>
          <w:sz w:val="20"/>
          <w:szCs w:val="20"/>
        </w:rPr>
        <w:t>M</w:t>
      </w:r>
      <w:r w:rsidRPr="008D188D">
        <w:rPr>
          <w:rFonts w:ascii="Verdana" w:hAnsi="Verdana"/>
          <w:sz w:val="20"/>
          <w:szCs w:val="20"/>
        </w:rPr>
        <w:t>ovimientos</w:t>
      </w:r>
      <w:r w:rsidR="002D2C97" w:rsidRPr="008D188D">
        <w:rPr>
          <w:rFonts w:ascii="Verdana" w:hAnsi="Verdana"/>
          <w:sz w:val="20"/>
          <w:szCs w:val="20"/>
        </w:rPr>
        <w:t xml:space="preserve"> de cartera</w:t>
      </w:r>
      <w:r w:rsidR="002D2C97" w:rsidRPr="008D188D">
        <w:rPr>
          <w:rFonts w:ascii="Verdana" w:hAnsi="Verdana"/>
          <w:bCs/>
          <w:sz w:val="20"/>
          <w:szCs w:val="20"/>
        </w:rPr>
        <w:t>»</w:t>
      </w:r>
      <w:r w:rsidR="00B02E70" w:rsidRPr="008D188D">
        <w:rPr>
          <w:rFonts w:ascii="Verdana" w:hAnsi="Verdana"/>
          <w:bCs/>
          <w:sz w:val="20"/>
          <w:szCs w:val="20"/>
        </w:rPr>
        <w:t xml:space="preserve"> (MURIC-001-003)</w:t>
      </w:r>
      <w:r w:rsidRPr="008D188D">
        <w:rPr>
          <w:rFonts w:ascii="Verdana" w:hAnsi="Verdana"/>
          <w:sz w:val="20"/>
          <w:szCs w:val="20"/>
        </w:rPr>
        <w:t>. En el nuevo crédito es obligatorio incluir los atributos 1</w:t>
      </w:r>
      <w:r w:rsidR="001C3061">
        <w:rPr>
          <w:rFonts w:ascii="Verdana" w:hAnsi="Verdana"/>
          <w:sz w:val="20"/>
          <w:szCs w:val="20"/>
        </w:rPr>
        <w:t>7</w:t>
      </w:r>
      <w:r w:rsidRPr="008D188D">
        <w:rPr>
          <w:rFonts w:ascii="Verdana" w:hAnsi="Verdana"/>
          <w:sz w:val="20"/>
          <w:szCs w:val="20"/>
        </w:rPr>
        <w:t xml:space="preserve"> y 1</w:t>
      </w:r>
      <w:r w:rsidR="001C3061">
        <w:rPr>
          <w:rFonts w:ascii="Verdana" w:hAnsi="Verdana"/>
          <w:sz w:val="20"/>
          <w:szCs w:val="20"/>
        </w:rPr>
        <w:t>8</w:t>
      </w:r>
      <w:r w:rsidR="00BA794B">
        <w:rPr>
          <w:rFonts w:ascii="Verdana" w:hAnsi="Verdana"/>
          <w:sz w:val="20"/>
          <w:szCs w:val="20"/>
        </w:rPr>
        <w:t xml:space="preserve"> </w:t>
      </w:r>
      <w:r w:rsidR="00BA794B" w:rsidRPr="007115A9">
        <w:rPr>
          <w:rFonts w:ascii="Verdana" w:hAnsi="Verdana"/>
          <w:sz w:val="20"/>
          <w:szCs w:val="20"/>
        </w:rPr>
        <w:t xml:space="preserve">en </w:t>
      </w:r>
      <w:r w:rsidR="007115A9" w:rsidRPr="007115A9">
        <w:rPr>
          <w:rFonts w:ascii="Verdana" w:hAnsi="Verdana"/>
          <w:bCs/>
          <w:sz w:val="20"/>
          <w:szCs w:val="20"/>
        </w:rPr>
        <w:t>el insumo «A</w:t>
      </w:r>
      <w:r w:rsidR="007115A9" w:rsidRPr="007115A9">
        <w:rPr>
          <w:rFonts w:ascii="Verdana" w:hAnsi="Verdana"/>
          <w:sz w:val="20"/>
          <w:szCs w:val="20"/>
        </w:rPr>
        <w:t>tributos de los créditos</w:t>
      </w:r>
      <w:r w:rsidR="00670AFB">
        <w:rPr>
          <w:rFonts w:ascii="Verdana" w:hAnsi="Verdana"/>
          <w:sz w:val="20"/>
          <w:szCs w:val="20"/>
        </w:rPr>
        <w:t xml:space="preserve"> y deudores</w:t>
      </w:r>
      <w:r w:rsidR="007115A9" w:rsidRPr="007115A9">
        <w:rPr>
          <w:rFonts w:ascii="Verdana" w:hAnsi="Verdana"/>
          <w:bCs/>
          <w:sz w:val="20"/>
          <w:szCs w:val="20"/>
        </w:rPr>
        <w:t>» (MURIC-001-002)</w:t>
      </w:r>
      <w:r w:rsidR="007115A9">
        <w:rPr>
          <w:rFonts w:ascii="Verdana" w:hAnsi="Verdana"/>
          <w:bCs/>
          <w:sz w:val="20"/>
          <w:szCs w:val="20"/>
        </w:rPr>
        <w:t>.</w:t>
      </w:r>
    </w:p>
    <w:p w14:paraId="32553B9D" w14:textId="77777777" w:rsidR="00CF627D" w:rsidRPr="00663431" w:rsidRDefault="00CF627D" w:rsidP="00C7045F">
      <w:pPr>
        <w:pStyle w:val="Prrafodelista"/>
        <w:ind w:left="1134" w:hanging="567"/>
        <w:jc w:val="both"/>
        <w:outlineLvl w:val="0"/>
        <w:rPr>
          <w:rFonts w:ascii="Verdana" w:hAnsi="Verdana"/>
          <w:color w:val="FF0000"/>
          <w:sz w:val="20"/>
          <w:szCs w:val="20"/>
        </w:rPr>
      </w:pPr>
    </w:p>
    <w:p w14:paraId="639B7220" w14:textId="44199513" w:rsidR="00BC32F5" w:rsidRDefault="00CF627D" w:rsidP="008C229C">
      <w:pPr>
        <w:pStyle w:val="Prrafodelista"/>
        <w:numPr>
          <w:ilvl w:val="1"/>
          <w:numId w:val="10"/>
        </w:numPr>
        <w:ind w:left="1134" w:hanging="567"/>
        <w:jc w:val="both"/>
        <w:outlineLvl w:val="0"/>
        <w:rPr>
          <w:rFonts w:ascii="Verdana" w:hAnsi="Verdana"/>
          <w:sz w:val="20"/>
          <w:szCs w:val="20"/>
        </w:rPr>
      </w:pPr>
      <w:r w:rsidRPr="00B32579">
        <w:rPr>
          <w:rFonts w:ascii="Verdana" w:hAnsi="Verdana"/>
          <w:sz w:val="20"/>
          <w:szCs w:val="20"/>
        </w:rPr>
        <w:t xml:space="preserve">Si la consolidación </w:t>
      </w:r>
      <w:r w:rsidR="008A73E4" w:rsidRPr="00B32579">
        <w:rPr>
          <w:rFonts w:ascii="Verdana" w:hAnsi="Verdana"/>
          <w:sz w:val="20"/>
          <w:szCs w:val="20"/>
        </w:rPr>
        <w:t>se genera como</w:t>
      </w:r>
      <w:r w:rsidRPr="00B32579">
        <w:rPr>
          <w:rFonts w:ascii="Verdana" w:hAnsi="Verdana"/>
          <w:sz w:val="20"/>
          <w:szCs w:val="20"/>
        </w:rPr>
        <w:t xml:space="preserve"> resultado de una modificación o reestructuración,</w:t>
      </w:r>
      <w:r w:rsidR="00D64417" w:rsidRPr="00B32579">
        <w:rPr>
          <w:rFonts w:ascii="Verdana" w:hAnsi="Verdana"/>
          <w:sz w:val="20"/>
          <w:szCs w:val="20"/>
        </w:rPr>
        <w:t xml:space="preserve"> </w:t>
      </w:r>
      <w:r w:rsidR="00E415C0" w:rsidRPr="00B32579">
        <w:rPr>
          <w:rFonts w:ascii="Verdana" w:hAnsi="Verdana"/>
          <w:sz w:val="20"/>
          <w:szCs w:val="20"/>
        </w:rPr>
        <w:t xml:space="preserve">en el </w:t>
      </w:r>
      <w:r w:rsidRPr="00B32579">
        <w:rPr>
          <w:rFonts w:ascii="Verdana" w:hAnsi="Verdana"/>
          <w:sz w:val="20"/>
          <w:szCs w:val="20"/>
        </w:rPr>
        <w:t xml:space="preserve">insumo </w:t>
      </w:r>
      <w:r w:rsidR="00E415C0" w:rsidRPr="00B32579">
        <w:rPr>
          <w:rFonts w:ascii="Verdana" w:hAnsi="Verdana"/>
          <w:bCs/>
          <w:sz w:val="20"/>
          <w:szCs w:val="20"/>
        </w:rPr>
        <w:t>«</w:t>
      </w:r>
      <w:r w:rsidR="00643E6F">
        <w:rPr>
          <w:rFonts w:ascii="Verdana" w:hAnsi="Verdana"/>
          <w:sz w:val="20"/>
          <w:szCs w:val="20"/>
        </w:rPr>
        <w:t>M</w:t>
      </w:r>
      <w:r w:rsidR="00E415C0" w:rsidRPr="00B32579">
        <w:rPr>
          <w:rFonts w:ascii="Verdana" w:hAnsi="Verdana"/>
          <w:sz w:val="20"/>
          <w:szCs w:val="20"/>
        </w:rPr>
        <w:t>ovimientos de cartera</w:t>
      </w:r>
      <w:r w:rsidR="00E415C0" w:rsidRPr="00B32579">
        <w:rPr>
          <w:rFonts w:ascii="Verdana" w:hAnsi="Verdana"/>
          <w:bCs/>
          <w:sz w:val="20"/>
          <w:szCs w:val="20"/>
        </w:rPr>
        <w:t xml:space="preserve">» (MURIC-001-003) </w:t>
      </w:r>
      <w:r w:rsidR="006F4D72">
        <w:rPr>
          <w:rFonts w:ascii="Verdana" w:hAnsi="Verdana"/>
          <w:bCs/>
          <w:sz w:val="20"/>
          <w:szCs w:val="20"/>
        </w:rPr>
        <w:t xml:space="preserve">se </w:t>
      </w:r>
      <w:r w:rsidR="000D04FA" w:rsidRPr="00B32579">
        <w:rPr>
          <w:rFonts w:ascii="Verdana" w:hAnsi="Verdana"/>
          <w:bCs/>
          <w:sz w:val="20"/>
          <w:szCs w:val="20"/>
        </w:rPr>
        <w:t>debe registrar</w:t>
      </w:r>
      <w:r w:rsidR="006F4D72">
        <w:rPr>
          <w:rFonts w:ascii="Verdana" w:hAnsi="Verdana"/>
          <w:bCs/>
          <w:sz w:val="20"/>
          <w:szCs w:val="20"/>
        </w:rPr>
        <w:t xml:space="preserve"> </w:t>
      </w:r>
      <w:r w:rsidR="001B4643" w:rsidRPr="00B32579">
        <w:rPr>
          <w:rFonts w:ascii="Verdana" w:hAnsi="Verdana"/>
          <w:bCs/>
          <w:sz w:val="20"/>
          <w:szCs w:val="20"/>
        </w:rPr>
        <w:t>la situación de modificación o restructuración en el campo «Estado del crédito»</w:t>
      </w:r>
      <w:r w:rsidR="00A25BA3">
        <w:rPr>
          <w:rFonts w:ascii="Verdana" w:hAnsi="Verdana"/>
          <w:bCs/>
          <w:sz w:val="20"/>
          <w:szCs w:val="20"/>
        </w:rPr>
        <w:t xml:space="preserve"> </w:t>
      </w:r>
      <w:r w:rsidR="00E56EC0">
        <w:rPr>
          <w:rFonts w:ascii="Verdana" w:hAnsi="Verdana"/>
          <w:bCs/>
          <w:sz w:val="20"/>
          <w:szCs w:val="20"/>
        </w:rPr>
        <w:t xml:space="preserve">para el nuevo crédito, </w:t>
      </w:r>
      <w:r w:rsidR="00A25BA3">
        <w:rPr>
          <w:rFonts w:ascii="Verdana" w:hAnsi="Verdana"/>
          <w:bCs/>
          <w:sz w:val="20"/>
          <w:szCs w:val="20"/>
        </w:rPr>
        <w:t xml:space="preserve">de acuerdo con los códigos de las tablas </w:t>
      </w:r>
      <w:r w:rsidR="007F120C">
        <w:rPr>
          <w:rFonts w:ascii="Verdana" w:hAnsi="Verdana"/>
          <w:bCs/>
          <w:sz w:val="20"/>
          <w:szCs w:val="20"/>
        </w:rPr>
        <w:t>para el reporte de información</w:t>
      </w:r>
      <w:r w:rsidR="001B4643" w:rsidRPr="00B32579">
        <w:rPr>
          <w:rFonts w:ascii="Verdana" w:hAnsi="Verdana"/>
          <w:bCs/>
          <w:sz w:val="20"/>
          <w:szCs w:val="20"/>
        </w:rPr>
        <w:t xml:space="preserve">. </w:t>
      </w:r>
      <w:r w:rsidR="00E56EC0">
        <w:rPr>
          <w:rFonts w:ascii="Verdana" w:hAnsi="Verdana"/>
          <w:bCs/>
          <w:sz w:val="20"/>
          <w:szCs w:val="20"/>
        </w:rPr>
        <w:t xml:space="preserve">Adicionalmente, el nuevo crédito debe </w:t>
      </w:r>
      <w:r w:rsidR="00E56EC0" w:rsidRPr="008D188D">
        <w:rPr>
          <w:rFonts w:ascii="Verdana" w:hAnsi="Verdana"/>
          <w:sz w:val="20"/>
          <w:szCs w:val="20"/>
        </w:rPr>
        <w:t>incluir los atributos 1</w:t>
      </w:r>
      <w:r w:rsidR="00073C52">
        <w:rPr>
          <w:rFonts w:ascii="Verdana" w:hAnsi="Verdana"/>
          <w:sz w:val="20"/>
          <w:szCs w:val="20"/>
        </w:rPr>
        <w:t>7</w:t>
      </w:r>
      <w:r w:rsidR="00E56EC0" w:rsidRPr="008D188D">
        <w:rPr>
          <w:rFonts w:ascii="Verdana" w:hAnsi="Verdana"/>
          <w:sz w:val="20"/>
          <w:szCs w:val="20"/>
        </w:rPr>
        <w:t xml:space="preserve"> y </w:t>
      </w:r>
      <w:r w:rsidR="00E56EC0" w:rsidRPr="007115A9">
        <w:rPr>
          <w:rFonts w:ascii="Verdana" w:hAnsi="Verdana"/>
          <w:sz w:val="20"/>
          <w:szCs w:val="20"/>
        </w:rPr>
        <w:t>1</w:t>
      </w:r>
      <w:r w:rsidR="00073C52" w:rsidRPr="007115A9">
        <w:rPr>
          <w:rFonts w:ascii="Verdana" w:hAnsi="Verdana"/>
          <w:sz w:val="20"/>
          <w:szCs w:val="20"/>
        </w:rPr>
        <w:t>8</w:t>
      </w:r>
      <w:r w:rsidR="00E56EC0" w:rsidRPr="007115A9">
        <w:rPr>
          <w:rFonts w:ascii="Verdana" w:hAnsi="Verdana"/>
          <w:sz w:val="20"/>
          <w:szCs w:val="20"/>
        </w:rPr>
        <w:t xml:space="preserve"> en </w:t>
      </w:r>
      <w:r w:rsidR="007115A9" w:rsidRPr="007115A9">
        <w:rPr>
          <w:rFonts w:ascii="Verdana" w:hAnsi="Verdana"/>
          <w:bCs/>
          <w:sz w:val="20"/>
          <w:szCs w:val="20"/>
        </w:rPr>
        <w:t>el insumo «A</w:t>
      </w:r>
      <w:r w:rsidR="007115A9" w:rsidRPr="007115A9">
        <w:rPr>
          <w:rFonts w:ascii="Verdana" w:hAnsi="Verdana"/>
          <w:sz w:val="20"/>
          <w:szCs w:val="20"/>
        </w:rPr>
        <w:t>tributos de los créditos</w:t>
      </w:r>
      <w:r w:rsidR="00670AFB">
        <w:rPr>
          <w:rFonts w:ascii="Verdana" w:hAnsi="Verdana"/>
          <w:sz w:val="20"/>
          <w:szCs w:val="20"/>
        </w:rPr>
        <w:t xml:space="preserve"> y deudores</w:t>
      </w:r>
      <w:r w:rsidR="007115A9" w:rsidRPr="007115A9">
        <w:rPr>
          <w:rFonts w:ascii="Verdana" w:hAnsi="Verdana"/>
          <w:bCs/>
          <w:sz w:val="20"/>
          <w:szCs w:val="20"/>
        </w:rPr>
        <w:t>» (MURIC-001-002)</w:t>
      </w:r>
      <w:r w:rsidR="00234471">
        <w:rPr>
          <w:rFonts w:ascii="Verdana" w:hAnsi="Verdana"/>
          <w:bCs/>
          <w:sz w:val="20"/>
          <w:szCs w:val="20"/>
        </w:rPr>
        <w:t>.</w:t>
      </w:r>
    </w:p>
    <w:p w14:paraId="5707257F" w14:textId="77777777" w:rsidR="009574F0" w:rsidRPr="009574F0" w:rsidRDefault="009574F0" w:rsidP="009574F0">
      <w:pPr>
        <w:jc w:val="both"/>
        <w:outlineLvl w:val="0"/>
        <w:rPr>
          <w:rFonts w:ascii="Verdana" w:hAnsi="Verdana"/>
          <w:sz w:val="20"/>
          <w:szCs w:val="20"/>
        </w:rPr>
      </w:pPr>
    </w:p>
    <w:p w14:paraId="164923CE" w14:textId="46AE9534" w:rsidR="00CF627D" w:rsidRPr="007115A9" w:rsidRDefault="00CF627D" w:rsidP="00BC1503">
      <w:pPr>
        <w:pStyle w:val="Prrafodelista"/>
        <w:numPr>
          <w:ilvl w:val="0"/>
          <w:numId w:val="10"/>
        </w:numPr>
        <w:ind w:left="567" w:hanging="567"/>
        <w:jc w:val="both"/>
        <w:outlineLvl w:val="0"/>
        <w:rPr>
          <w:rFonts w:ascii="Verdana" w:hAnsi="Verdana"/>
          <w:bCs/>
          <w:sz w:val="20"/>
          <w:szCs w:val="20"/>
        </w:rPr>
      </w:pPr>
      <w:r w:rsidRPr="004678C3">
        <w:rPr>
          <w:rFonts w:ascii="Verdana" w:hAnsi="Verdana"/>
          <w:bCs/>
          <w:sz w:val="20"/>
          <w:szCs w:val="20"/>
        </w:rPr>
        <w:t>Si al</w:t>
      </w:r>
      <w:r w:rsidR="0028772C" w:rsidRPr="004678C3">
        <w:rPr>
          <w:rFonts w:ascii="Verdana" w:hAnsi="Verdana"/>
          <w:bCs/>
          <w:sz w:val="20"/>
          <w:szCs w:val="20"/>
        </w:rPr>
        <w:t xml:space="preserve"> momento de</w:t>
      </w:r>
      <w:r w:rsidRPr="004678C3">
        <w:rPr>
          <w:rFonts w:ascii="Verdana" w:hAnsi="Verdana"/>
          <w:bCs/>
          <w:sz w:val="20"/>
          <w:szCs w:val="20"/>
        </w:rPr>
        <w:t xml:space="preserve"> reexpedir una tarjeta de crédito, el identificador </w:t>
      </w:r>
      <w:r w:rsidR="0028772C" w:rsidRPr="004678C3">
        <w:rPr>
          <w:rFonts w:ascii="Verdana" w:hAnsi="Verdana"/>
          <w:bCs/>
          <w:sz w:val="20"/>
          <w:szCs w:val="20"/>
        </w:rPr>
        <w:t>(</w:t>
      </w:r>
      <w:r w:rsidRPr="004678C3">
        <w:rPr>
          <w:rFonts w:ascii="Verdana" w:hAnsi="Verdana"/>
          <w:bCs/>
          <w:sz w:val="20"/>
          <w:szCs w:val="20"/>
        </w:rPr>
        <w:t>identificacion_credito_entidad</w:t>
      </w:r>
      <w:r w:rsidR="0028772C" w:rsidRPr="004678C3">
        <w:rPr>
          <w:rFonts w:ascii="Verdana" w:hAnsi="Verdana"/>
          <w:bCs/>
          <w:sz w:val="20"/>
          <w:szCs w:val="20"/>
        </w:rPr>
        <w:t>)</w:t>
      </w:r>
      <w:r w:rsidRPr="004678C3">
        <w:rPr>
          <w:rFonts w:ascii="Verdana" w:hAnsi="Verdana"/>
          <w:bCs/>
          <w:sz w:val="20"/>
          <w:szCs w:val="20"/>
        </w:rPr>
        <w:t xml:space="preserve"> cambia, el estado de la operación </w:t>
      </w:r>
      <w:r w:rsidR="00EA5EC4" w:rsidRPr="004678C3">
        <w:rPr>
          <w:rFonts w:ascii="Verdana" w:hAnsi="Verdana"/>
          <w:bCs/>
          <w:sz w:val="20"/>
          <w:szCs w:val="20"/>
        </w:rPr>
        <w:t xml:space="preserve">inicial </w:t>
      </w:r>
      <w:r w:rsidR="00E55E96" w:rsidRPr="004678C3">
        <w:rPr>
          <w:rFonts w:ascii="Verdana" w:hAnsi="Verdana"/>
          <w:bCs/>
          <w:sz w:val="20"/>
          <w:szCs w:val="20"/>
        </w:rPr>
        <w:t xml:space="preserve">debe </w:t>
      </w:r>
      <w:r w:rsidRPr="004678C3">
        <w:rPr>
          <w:rFonts w:ascii="Verdana" w:hAnsi="Verdana"/>
          <w:bCs/>
          <w:sz w:val="20"/>
          <w:szCs w:val="20"/>
        </w:rPr>
        <w:t xml:space="preserve">marcarse como </w:t>
      </w:r>
      <w:r w:rsidR="00E55E96" w:rsidRPr="004678C3">
        <w:rPr>
          <w:rFonts w:ascii="Verdana" w:hAnsi="Verdana"/>
          <w:bCs/>
          <w:sz w:val="20"/>
          <w:szCs w:val="20"/>
        </w:rPr>
        <w:t>«</w:t>
      </w:r>
      <w:r w:rsidRPr="004678C3">
        <w:rPr>
          <w:rFonts w:ascii="Verdana" w:hAnsi="Verdana"/>
          <w:bCs/>
          <w:sz w:val="20"/>
          <w:szCs w:val="20"/>
        </w:rPr>
        <w:t>Cancelada por reexpedición</w:t>
      </w:r>
      <w:r w:rsidR="00E55E96" w:rsidRPr="004678C3">
        <w:rPr>
          <w:rFonts w:ascii="Verdana" w:hAnsi="Verdana"/>
          <w:bCs/>
          <w:sz w:val="20"/>
          <w:szCs w:val="20"/>
        </w:rPr>
        <w:t xml:space="preserve">» en el </w:t>
      </w:r>
      <w:r w:rsidR="0007176D" w:rsidRPr="004678C3">
        <w:rPr>
          <w:rFonts w:ascii="Verdana" w:hAnsi="Verdana"/>
          <w:sz w:val="20"/>
          <w:szCs w:val="20"/>
        </w:rPr>
        <w:t xml:space="preserve">insumo </w:t>
      </w:r>
      <w:r w:rsidR="0007176D" w:rsidRPr="004678C3">
        <w:rPr>
          <w:rFonts w:ascii="Verdana" w:hAnsi="Verdana"/>
          <w:bCs/>
          <w:sz w:val="20"/>
          <w:szCs w:val="20"/>
        </w:rPr>
        <w:t>«</w:t>
      </w:r>
      <w:r w:rsidR="00643E6F">
        <w:rPr>
          <w:rFonts w:ascii="Verdana" w:hAnsi="Verdana"/>
          <w:sz w:val="20"/>
          <w:szCs w:val="20"/>
        </w:rPr>
        <w:t>M</w:t>
      </w:r>
      <w:r w:rsidR="0007176D" w:rsidRPr="004678C3">
        <w:rPr>
          <w:rFonts w:ascii="Verdana" w:hAnsi="Verdana"/>
          <w:sz w:val="20"/>
          <w:szCs w:val="20"/>
        </w:rPr>
        <w:t>ovimientos de cartera</w:t>
      </w:r>
      <w:r w:rsidR="0007176D" w:rsidRPr="004678C3">
        <w:rPr>
          <w:rFonts w:ascii="Verdana" w:hAnsi="Verdana"/>
          <w:bCs/>
          <w:sz w:val="20"/>
          <w:szCs w:val="20"/>
        </w:rPr>
        <w:t>» (MURIC-001-003)</w:t>
      </w:r>
      <w:r w:rsidRPr="004678C3">
        <w:rPr>
          <w:rFonts w:ascii="Verdana" w:hAnsi="Verdana"/>
          <w:bCs/>
          <w:sz w:val="20"/>
          <w:szCs w:val="20"/>
        </w:rPr>
        <w:t xml:space="preserve">. </w:t>
      </w:r>
      <w:r w:rsidR="00EA5EC4" w:rsidRPr="004678C3">
        <w:rPr>
          <w:rFonts w:ascii="Verdana" w:hAnsi="Verdana"/>
          <w:bCs/>
          <w:sz w:val="20"/>
          <w:szCs w:val="20"/>
        </w:rPr>
        <w:t>Con el fin de identificar que la nueva operación remplaza a la tarjeta cancelada</w:t>
      </w:r>
      <w:r w:rsidR="00EA5EC4" w:rsidRPr="007115A9">
        <w:rPr>
          <w:rFonts w:ascii="Verdana" w:hAnsi="Verdana"/>
          <w:bCs/>
          <w:sz w:val="20"/>
          <w:szCs w:val="20"/>
        </w:rPr>
        <w:t>, en el insumo «</w:t>
      </w:r>
      <w:r w:rsidR="007115A9" w:rsidRPr="007115A9">
        <w:rPr>
          <w:rFonts w:ascii="Verdana" w:hAnsi="Verdana"/>
          <w:bCs/>
          <w:sz w:val="20"/>
          <w:szCs w:val="20"/>
        </w:rPr>
        <w:t>A</w:t>
      </w:r>
      <w:r w:rsidR="00EA5EC4" w:rsidRPr="007115A9">
        <w:rPr>
          <w:rFonts w:ascii="Verdana" w:hAnsi="Verdana"/>
          <w:sz w:val="20"/>
          <w:szCs w:val="20"/>
        </w:rPr>
        <w:t>tributos de los créditos</w:t>
      </w:r>
      <w:r w:rsidR="00670AFB">
        <w:rPr>
          <w:rFonts w:ascii="Verdana" w:hAnsi="Verdana"/>
          <w:sz w:val="20"/>
          <w:szCs w:val="20"/>
        </w:rPr>
        <w:t xml:space="preserve"> y deudores</w:t>
      </w:r>
      <w:r w:rsidR="00EA5EC4" w:rsidRPr="007115A9">
        <w:rPr>
          <w:rFonts w:ascii="Verdana" w:hAnsi="Verdana"/>
          <w:bCs/>
          <w:sz w:val="20"/>
          <w:szCs w:val="20"/>
        </w:rPr>
        <w:t>» (MURIC-001-002)</w:t>
      </w:r>
      <w:r w:rsidR="00BD40EF" w:rsidRPr="007115A9">
        <w:rPr>
          <w:rFonts w:ascii="Verdana" w:hAnsi="Verdana"/>
          <w:sz w:val="20"/>
          <w:szCs w:val="20"/>
        </w:rPr>
        <w:t xml:space="preserve"> </w:t>
      </w:r>
      <w:r w:rsidR="00EA5EC4" w:rsidRPr="007115A9">
        <w:rPr>
          <w:rFonts w:ascii="Verdana" w:hAnsi="Verdana"/>
          <w:bCs/>
          <w:sz w:val="20"/>
          <w:szCs w:val="20"/>
        </w:rPr>
        <w:t>l</w:t>
      </w:r>
      <w:r w:rsidRPr="007115A9">
        <w:rPr>
          <w:rFonts w:ascii="Verdana" w:hAnsi="Verdana"/>
          <w:bCs/>
          <w:sz w:val="20"/>
          <w:szCs w:val="20"/>
        </w:rPr>
        <w:t>a nueva operación debe incluir los atributos 1</w:t>
      </w:r>
      <w:r w:rsidR="00073C52" w:rsidRPr="007115A9">
        <w:rPr>
          <w:rFonts w:ascii="Verdana" w:hAnsi="Verdana"/>
          <w:bCs/>
          <w:sz w:val="20"/>
          <w:szCs w:val="20"/>
        </w:rPr>
        <w:t>7</w:t>
      </w:r>
      <w:r w:rsidRPr="007115A9">
        <w:rPr>
          <w:rFonts w:ascii="Verdana" w:hAnsi="Verdana"/>
          <w:bCs/>
          <w:sz w:val="20"/>
          <w:szCs w:val="20"/>
        </w:rPr>
        <w:t xml:space="preserve"> y 1</w:t>
      </w:r>
      <w:r w:rsidR="00073C52" w:rsidRPr="007115A9">
        <w:rPr>
          <w:rFonts w:ascii="Verdana" w:hAnsi="Verdana"/>
          <w:bCs/>
          <w:sz w:val="20"/>
          <w:szCs w:val="20"/>
        </w:rPr>
        <w:t>8</w:t>
      </w:r>
      <w:r w:rsidR="00BD40EF" w:rsidRPr="007115A9">
        <w:rPr>
          <w:rFonts w:ascii="Verdana" w:hAnsi="Verdana"/>
          <w:bCs/>
          <w:sz w:val="20"/>
          <w:szCs w:val="20"/>
        </w:rPr>
        <w:t>.</w:t>
      </w:r>
    </w:p>
    <w:p w14:paraId="0EEF5E5F" w14:textId="77777777" w:rsidR="00CF627D" w:rsidRPr="00075DE0" w:rsidRDefault="00CF627D" w:rsidP="00CF627D">
      <w:pPr>
        <w:pStyle w:val="Prrafodelista"/>
        <w:ind w:left="502"/>
        <w:jc w:val="both"/>
        <w:outlineLvl w:val="0"/>
        <w:rPr>
          <w:rFonts w:ascii="Verdana" w:hAnsi="Verdana"/>
          <w:bCs/>
          <w:sz w:val="20"/>
          <w:szCs w:val="20"/>
        </w:rPr>
      </w:pPr>
    </w:p>
    <w:p w14:paraId="369EAAB9" w14:textId="38B9EDB4" w:rsidR="009A759D" w:rsidRPr="009A759D" w:rsidRDefault="009A759D" w:rsidP="009A759D">
      <w:pPr>
        <w:pStyle w:val="Prrafodelista"/>
        <w:numPr>
          <w:ilvl w:val="0"/>
          <w:numId w:val="10"/>
        </w:numPr>
        <w:ind w:left="567" w:hanging="567"/>
        <w:jc w:val="both"/>
        <w:outlineLvl w:val="0"/>
        <w:rPr>
          <w:rFonts w:ascii="Verdana" w:hAnsi="Verdana"/>
          <w:bCs/>
          <w:sz w:val="20"/>
          <w:szCs w:val="20"/>
        </w:rPr>
      </w:pPr>
      <w:r w:rsidRPr="009A759D">
        <w:rPr>
          <w:rFonts w:ascii="Verdana" w:hAnsi="Verdana"/>
          <w:bCs/>
          <w:sz w:val="20"/>
          <w:szCs w:val="20"/>
        </w:rPr>
        <w:t>Una operación castigada debe reportarse en el mes en que se realiza el castigo con el estado «Castigado»</w:t>
      </w:r>
      <w:r w:rsidR="00FE776C">
        <w:rPr>
          <w:rFonts w:ascii="Verdana" w:hAnsi="Verdana"/>
          <w:bCs/>
          <w:sz w:val="20"/>
          <w:szCs w:val="20"/>
        </w:rPr>
        <w:t xml:space="preserve"> en </w:t>
      </w:r>
      <w:r w:rsidR="00C16961">
        <w:rPr>
          <w:rFonts w:ascii="Verdana" w:hAnsi="Verdana"/>
          <w:bCs/>
          <w:sz w:val="20"/>
          <w:szCs w:val="20"/>
        </w:rPr>
        <w:t>el campo</w:t>
      </w:r>
      <w:r w:rsidR="00FE776C">
        <w:rPr>
          <w:rFonts w:ascii="Verdana" w:hAnsi="Verdana"/>
          <w:bCs/>
          <w:sz w:val="20"/>
          <w:szCs w:val="20"/>
        </w:rPr>
        <w:t xml:space="preserve"> </w:t>
      </w:r>
      <w:r w:rsidR="00FE776C" w:rsidRPr="009A759D">
        <w:rPr>
          <w:rFonts w:ascii="Verdana" w:hAnsi="Verdana"/>
          <w:bCs/>
          <w:sz w:val="20"/>
          <w:szCs w:val="20"/>
        </w:rPr>
        <w:t>«</w:t>
      </w:r>
      <w:r w:rsidR="00FE776C">
        <w:rPr>
          <w:rFonts w:ascii="Verdana" w:hAnsi="Verdana"/>
          <w:bCs/>
          <w:sz w:val="20"/>
          <w:szCs w:val="20"/>
        </w:rPr>
        <w:t>Estado del Crédito</w:t>
      </w:r>
      <w:r w:rsidR="00FE776C" w:rsidRPr="009A759D">
        <w:rPr>
          <w:rFonts w:ascii="Verdana" w:hAnsi="Verdana"/>
          <w:bCs/>
          <w:sz w:val="20"/>
          <w:szCs w:val="20"/>
        </w:rPr>
        <w:t>»</w:t>
      </w:r>
      <w:r w:rsidR="00124C85">
        <w:rPr>
          <w:rFonts w:ascii="Verdana" w:hAnsi="Verdana"/>
          <w:bCs/>
          <w:sz w:val="20"/>
          <w:szCs w:val="20"/>
        </w:rPr>
        <w:t xml:space="preserve"> del insumo </w:t>
      </w:r>
      <w:r w:rsidR="00124C85" w:rsidRPr="005412E0">
        <w:rPr>
          <w:rFonts w:ascii="Verdana" w:hAnsi="Verdana"/>
          <w:bCs/>
          <w:sz w:val="20"/>
          <w:szCs w:val="20"/>
        </w:rPr>
        <w:t>«</w:t>
      </w:r>
      <w:r w:rsidR="00124C85">
        <w:rPr>
          <w:rFonts w:ascii="Verdana" w:hAnsi="Verdana"/>
          <w:sz w:val="20"/>
          <w:szCs w:val="20"/>
        </w:rPr>
        <w:t>M</w:t>
      </w:r>
      <w:r w:rsidR="00124C85" w:rsidRPr="005412E0">
        <w:rPr>
          <w:rFonts w:ascii="Verdana" w:hAnsi="Verdana"/>
          <w:sz w:val="20"/>
          <w:szCs w:val="20"/>
        </w:rPr>
        <w:t>ovimientos de cartera</w:t>
      </w:r>
      <w:r w:rsidR="00124C85" w:rsidRPr="005412E0">
        <w:rPr>
          <w:rFonts w:ascii="Verdana" w:hAnsi="Verdana"/>
          <w:bCs/>
          <w:sz w:val="20"/>
          <w:szCs w:val="20"/>
        </w:rPr>
        <w:t>» (MURIC-001-003)</w:t>
      </w:r>
      <w:r w:rsidRPr="009A759D">
        <w:rPr>
          <w:rFonts w:ascii="Verdana" w:hAnsi="Verdana"/>
          <w:bCs/>
          <w:sz w:val="20"/>
          <w:szCs w:val="20"/>
        </w:rPr>
        <w:t>. A partir de ese momento, la operación</w:t>
      </w:r>
      <w:r w:rsidR="0023522F">
        <w:rPr>
          <w:rFonts w:ascii="Verdana" w:hAnsi="Verdana"/>
          <w:bCs/>
          <w:sz w:val="20"/>
          <w:szCs w:val="20"/>
        </w:rPr>
        <w:t xml:space="preserve"> debe</w:t>
      </w:r>
      <w:r w:rsidR="003817EA">
        <w:rPr>
          <w:rFonts w:ascii="Verdana" w:hAnsi="Verdana"/>
          <w:bCs/>
          <w:sz w:val="20"/>
          <w:szCs w:val="20"/>
        </w:rPr>
        <w:t xml:space="preserve"> seguirse reportando</w:t>
      </w:r>
      <w:r w:rsidR="0023522F">
        <w:rPr>
          <w:rFonts w:ascii="Verdana" w:hAnsi="Verdana"/>
          <w:bCs/>
          <w:sz w:val="20"/>
          <w:szCs w:val="20"/>
        </w:rPr>
        <w:t xml:space="preserve"> en el MURIC como castigada</w:t>
      </w:r>
      <w:r w:rsidR="00200B7E">
        <w:rPr>
          <w:rFonts w:ascii="Verdana" w:hAnsi="Verdana"/>
          <w:bCs/>
          <w:sz w:val="20"/>
          <w:szCs w:val="20"/>
        </w:rPr>
        <w:t xml:space="preserve">. </w:t>
      </w:r>
      <w:r w:rsidRPr="009A759D">
        <w:rPr>
          <w:rFonts w:ascii="Verdana" w:hAnsi="Verdana"/>
          <w:bCs/>
          <w:sz w:val="20"/>
          <w:szCs w:val="20"/>
        </w:rPr>
        <w:t>Por ejemplo, si la operación fue castigada el 15 de abril de 2023, se reportará como «Castigada» en el corte del 30 de abril de 2023. En cortes posteriores, será necesario actualizar los saldos al reportar la operación si continúa en ese estado</w:t>
      </w:r>
      <w:r>
        <w:rPr>
          <w:rFonts w:ascii="Verdana" w:hAnsi="Verdana"/>
          <w:bCs/>
          <w:sz w:val="20"/>
          <w:szCs w:val="20"/>
        </w:rPr>
        <w:t>.</w:t>
      </w:r>
    </w:p>
    <w:p w14:paraId="08003717" w14:textId="77777777" w:rsidR="009A759D" w:rsidRPr="009A759D" w:rsidRDefault="009A759D" w:rsidP="009A759D">
      <w:pPr>
        <w:pStyle w:val="Prrafodelista"/>
        <w:rPr>
          <w:rFonts w:ascii="Verdana" w:hAnsi="Verdana"/>
          <w:bCs/>
          <w:sz w:val="20"/>
          <w:szCs w:val="20"/>
        </w:rPr>
      </w:pPr>
    </w:p>
    <w:p w14:paraId="60B1008F" w14:textId="4A2A84E9" w:rsidR="00D53C94" w:rsidRDefault="00CF627D" w:rsidP="0043204F">
      <w:pPr>
        <w:pStyle w:val="Prrafodelista"/>
        <w:numPr>
          <w:ilvl w:val="0"/>
          <w:numId w:val="10"/>
        </w:numPr>
        <w:ind w:left="567" w:hanging="567"/>
        <w:jc w:val="both"/>
        <w:outlineLvl w:val="0"/>
        <w:rPr>
          <w:rFonts w:ascii="Verdana" w:hAnsi="Verdana"/>
          <w:bCs/>
          <w:sz w:val="20"/>
          <w:szCs w:val="20"/>
        </w:rPr>
      </w:pPr>
      <w:r w:rsidRPr="005412E0">
        <w:rPr>
          <w:rFonts w:ascii="Verdana" w:hAnsi="Verdana"/>
          <w:bCs/>
          <w:sz w:val="20"/>
          <w:szCs w:val="20"/>
        </w:rPr>
        <w:t xml:space="preserve">Si una operación castigada posteriormente tiene algún tipo de recuperación </w:t>
      </w:r>
      <w:r w:rsidR="005C79CB">
        <w:rPr>
          <w:rFonts w:ascii="Verdana" w:hAnsi="Verdana"/>
          <w:bCs/>
          <w:sz w:val="20"/>
          <w:szCs w:val="20"/>
        </w:rPr>
        <w:t xml:space="preserve">de capital </w:t>
      </w:r>
      <w:r w:rsidRPr="005412E0">
        <w:rPr>
          <w:rFonts w:ascii="Verdana" w:hAnsi="Verdana"/>
          <w:bCs/>
          <w:sz w:val="20"/>
          <w:szCs w:val="20"/>
        </w:rPr>
        <w:t xml:space="preserve">(parcial o total), </w:t>
      </w:r>
      <w:r w:rsidR="007A3FF6" w:rsidRPr="005412E0">
        <w:rPr>
          <w:rFonts w:ascii="Verdana" w:hAnsi="Verdana"/>
          <w:bCs/>
          <w:sz w:val="20"/>
          <w:szCs w:val="20"/>
        </w:rPr>
        <w:t xml:space="preserve">en el </w:t>
      </w:r>
      <w:r w:rsidR="007A3FF6" w:rsidRPr="005412E0">
        <w:rPr>
          <w:rFonts w:ascii="Verdana" w:hAnsi="Verdana"/>
          <w:sz w:val="20"/>
          <w:szCs w:val="20"/>
        </w:rPr>
        <w:t xml:space="preserve">insumo </w:t>
      </w:r>
      <w:r w:rsidR="007A3FF6" w:rsidRPr="005412E0">
        <w:rPr>
          <w:rFonts w:ascii="Verdana" w:hAnsi="Verdana"/>
          <w:bCs/>
          <w:sz w:val="20"/>
          <w:szCs w:val="20"/>
        </w:rPr>
        <w:t>«</w:t>
      </w:r>
      <w:r w:rsidR="00643E6F">
        <w:rPr>
          <w:rFonts w:ascii="Verdana" w:hAnsi="Verdana"/>
          <w:sz w:val="20"/>
          <w:szCs w:val="20"/>
        </w:rPr>
        <w:t>M</w:t>
      </w:r>
      <w:r w:rsidR="007A3FF6" w:rsidRPr="005412E0">
        <w:rPr>
          <w:rFonts w:ascii="Verdana" w:hAnsi="Verdana"/>
          <w:sz w:val="20"/>
          <w:szCs w:val="20"/>
        </w:rPr>
        <w:t>ovimientos de cartera</w:t>
      </w:r>
      <w:r w:rsidR="007A3FF6" w:rsidRPr="005412E0">
        <w:rPr>
          <w:rFonts w:ascii="Verdana" w:hAnsi="Verdana"/>
          <w:bCs/>
          <w:sz w:val="20"/>
          <w:szCs w:val="20"/>
        </w:rPr>
        <w:t xml:space="preserve">» (MURIC-001-003) </w:t>
      </w:r>
      <w:r w:rsidRPr="005412E0">
        <w:rPr>
          <w:rFonts w:ascii="Verdana" w:hAnsi="Verdana"/>
          <w:bCs/>
          <w:sz w:val="20"/>
          <w:szCs w:val="20"/>
        </w:rPr>
        <w:t xml:space="preserve">se debe reportar dicha recuperación con el estado </w:t>
      </w:r>
      <w:r w:rsidR="00CF2EC7" w:rsidRPr="005412E0">
        <w:rPr>
          <w:rFonts w:ascii="Verdana" w:hAnsi="Verdana"/>
          <w:bCs/>
          <w:sz w:val="20"/>
          <w:szCs w:val="20"/>
        </w:rPr>
        <w:t>«</w:t>
      </w:r>
      <w:r w:rsidR="00920D91">
        <w:rPr>
          <w:rFonts w:ascii="Verdana" w:hAnsi="Verdana"/>
          <w:bCs/>
          <w:sz w:val="20"/>
          <w:szCs w:val="20"/>
        </w:rPr>
        <w:t>R</w:t>
      </w:r>
      <w:r w:rsidRPr="005412E0">
        <w:rPr>
          <w:rFonts w:ascii="Verdana" w:hAnsi="Verdana"/>
          <w:bCs/>
          <w:sz w:val="20"/>
          <w:szCs w:val="20"/>
        </w:rPr>
        <w:t>ecuperación</w:t>
      </w:r>
      <w:r w:rsidR="00CF2EC7" w:rsidRPr="005412E0">
        <w:rPr>
          <w:rFonts w:ascii="Verdana" w:hAnsi="Verdana"/>
          <w:bCs/>
          <w:sz w:val="20"/>
          <w:szCs w:val="20"/>
        </w:rPr>
        <w:t>»</w:t>
      </w:r>
      <w:r w:rsidRPr="005412E0">
        <w:rPr>
          <w:rFonts w:ascii="Verdana" w:hAnsi="Verdana"/>
          <w:bCs/>
          <w:sz w:val="20"/>
          <w:szCs w:val="20"/>
        </w:rPr>
        <w:t xml:space="preserve"> y </w:t>
      </w:r>
      <w:r w:rsidR="00025BA5">
        <w:rPr>
          <w:rFonts w:ascii="Verdana" w:hAnsi="Verdana"/>
          <w:bCs/>
          <w:sz w:val="20"/>
          <w:szCs w:val="20"/>
        </w:rPr>
        <w:t xml:space="preserve">con </w:t>
      </w:r>
      <w:r w:rsidRPr="005412E0">
        <w:rPr>
          <w:rFonts w:ascii="Verdana" w:hAnsi="Verdana"/>
          <w:bCs/>
          <w:sz w:val="20"/>
          <w:szCs w:val="20"/>
        </w:rPr>
        <w:t>los saldos actualizados</w:t>
      </w:r>
      <w:r w:rsidR="00134D85" w:rsidRPr="005412E0">
        <w:rPr>
          <w:rFonts w:ascii="Verdana" w:hAnsi="Verdana"/>
          <w:bCs/>
          <w:sz w:val="20"/>
          <w:szCs w:val="20"/>
        </w:rPr>
        <w:t>,</w:t>
      </w:r>
      <w:r w:rsidRPr="005412E0">
        <w:rPr>
          <w:rFonts w:ascii="Verdana" w:hAnsi="Verdana"/>
          <w:bCs/>
          <w:sz w:val="20"/>
          <w:szCs w:val="20"/>
        </w:rPr>
        <w:t xml:space="preserve"> según corresponda</w:t>
      </w:r>
      <w:r w:rsidR="00565B4C">
        <w:rPr>
          <w:rFonts w:ascii="Verdana" w:hAnsi="Verdana"/>
          <w:bCs/>
          <w:sz w:val="20"/>
          <w:szCs w:val="20"/>
        </w:rPr>
        <w:t xml:space="preserve">, y </w:t>
      </w:r>
      <w:r w:rsidR="00565B4C" w:rsidRPr="005412E0">
        <w:rPr>
          <w:rFonts w:ascii="Verdana" w:hAnsi="Verdana"/>
          <w:bCs/>
          <w:sz w:val="20"/>
          <w:szCs w:val="20"/>
        </w:rPr>
        <w:t>se debe marcar el tipo de recuperación con el atributo 2</w:t>
      </w:r>
      <w:r w:rsidR="00565B4C">
        <w:rPr>
          <w:rFonts w:ascii="Verdana" w:hAnsi="Verdana"/>
          <w:bCs/>
          <w:sz w:val="20"/>
          <w:szCs w:val="20"/>
        </w:rPr>
        <w:t>2</w:t>
      </w:r>
      <w:r w:rsidR="00565B4C" w:rsidRPr="005412E0">
        <w:rPr>
          <w:rFonts w:ascii="Verdana" w:hAnsi="Verdana"/>
          <w:bCs/>
          <w:sz w:val="20"/>
          <w:szCs w:val="20"/>
        </w:rPr>
        <w:t xml:space="preserve"> «Tipo de recuperaci</w:t>
      </w:r>
      <w:r w:rsidR="00565B4C" w:rsidRPr="00B91B50">
        <w:rPr>
          <w:rFonts w:ascii="Verdana" w:hAnsi="Verdana"/>
          <w:bCs/>
          <w:sz w:val="20"/>
          <w:szCs w:val="20"/>
        </w:rPr>
        <w:t>ón» del insumo «</w:t>
      </w:r>
      <w:r w:rsidR="00565B4C" w:rsidRPr="00B91B50">
        <w:rPr>
          <w:rFonts w:ascii="Verdana" w:hAnsi="Verdana"/>
          <w:sz w:val="20"/>
          <w:szCs w:val="20"/>
        </w:rPr>
        <w:t>Atributos de los créditos</w:t>
      </w:r>
      <w:r w:rsidR="00565B4C">
        <w:rPr>
          <w:rFonts w:ascii="Verdana" w:hAnsi="Verdana"/>
          <w:sz w:val="20"/>
          <w:szCs w:val="20"/>
        </w:rPr>
        <w:t xml:space="preserve"> y deudores</w:t>
      </w:r>
      <w:r w:rsidR="00565B4C" w:rsidRPr="00B91B50">
        <w:rPr>
          <w:rFonts w:ascii="Verdana" w:hAnsi="Verdana"/>
          <w:bCs/>
          <w:sz w:val="20"/>
          <w:szCs w:val="20"/>
        </w:rPr>
        <w:t>» (MURIC-001-002)</w:t>
      </w:r>
      <w:r w:rsidRPr="005412E0">
        <w:rPr>
          <w:rFonts w:ascii="Verdana" w:hAnsi="Verdana"/>
          <w:bCs/>
          <w:sz w:val="20"/>
          <w:szCs w:val="20"/>
        </w:rPr>
        <w:t xml:space="preserve">. Por ejemplo, si la operación fue castigada en mayo de 2022 (reporte de castigo al 31 de mayo de 2022) y el 14 de junio de 2023 se realiza una recuperación, esta </w:t>
      </w:r>
      <w:r w:rsidR="005B1A1D">
        <w:rPr>
          <w:rFonts w:ascii="Verdana" w:hAnsi="Verdana"/>
          <w:bCs/>
          <w:sz w:val="20"/>
          <w:szCs w:val="20"/>
        </w:rPr>
        <w:t xml:space="preserve">recuperación </w:t>
      </w:r>
      <w:r w:rsidRPr="005412E0">
        <w:rPr>
          <w:rFonts w:ascii="Verdana" w:hAnsi="Verdana"/>
          <w:bCs/>
          <w:sz w:val="20"/>
          <w:szCs w:val="20"/>
        </w:rPr>
        <w:t xml:space="preserve">debe reportarse en el corte del 30 de junio de 2023 con los saldos actualizados. Si hay una nueva recuperación en el </w:t>
      </w:r>
      <w:r w:rsidRPr="005412E0">
        <w:rPr>
          <w:rFonts w:ascii="Verdana" w:hAnsi="Verdana"/>
          <w:bCs/>
          <w:sz w:val="20"/>
          <w:szCs w:val="20"/>
        </w:rPr>
        <w:lastRenderedPageBreak/>
        <w:t>futuro, se reportará en el mes correspondiente a dicha recuperación y se debe marcar el tipo de recuperación con el atributo</w:t>
      </w:r>
      <w:r w:rsidR="00C61F94" w:rsidRPr="005412E0">
        <w:rPr>
          <w:rFonts w:ascii="Verdana" w:hAnsi="Verdana"/>
          <w:bCs/>
          <w:sz w:val="20"/>
          <w:szCs w:val="20"/>
        </w:rPr>
        <w:t xml:space="preserve"> </w:t>
      </w:r>
      <w:r w:rsidRPr="005412E0">
        <w:rPr>
          <w:rFonts w:ascii="Verdana" w:hAnsi="Verdana"/>
          <w:bCs/>
          <w:sz w:val="20"/>
          <w:szCs w:val="20"/>
        </w:rPr>
        <w:t>2</w:t>
      </w:r>
      <w:r w:rsidR="00073C52">
        <w:rPr>
          <w:rFonts w:ascii="Verdana" w:hAnsi="Verdana"/>
          <w:bCs/>
          <w:sz w:val="20"/>
          <w:szCs w:val="20"/>
        </w:rPr>
        <w:t>2</w:t>
      </w:r>
      <w:r w:rsidRPr="005412E0">
        <w:rPr>
          <w:rFonts w:ascii="Verdana" w:hAnsi="Verdana"/>
          <w:bCs/>
          <w:sz w:val="20"/>
          <w:szCs w:val="20"/>
        </w:rPr>
        <w:t xml:space="preserve"> </w:t>
      </w:r>
      <w:r w:rsidR="008F6924" w:rsidRPr="005412E0">
        <w:rPr>
          <w:rFonts w:ascii="Verdana" w:hAnsi="Verdana"/>
          <w:bCs/>
          <w:sz w:val="20"/>
          <w:szCs w:val="20"/>
        </w:rPr>
        <w:t>«</w:t>
      </w:r>
      <w:r w:rsidR="00B77577" w:rsidRPr="005412E0">
        <w:rPr>
          <w:rFonts w:ascii="Verdana" w:hAnsi="Verdana"/>
          <w:bCs/>
          <w:sz w:val="20"/>
          <w:szCs w:val="20"/>
        </w:rPr>
        <w:t>T</w:t>
      </w:r>
      <w:r w:rsidRPr="005412E0">
        <w:rPr>
          <w:rFonts w:ascii="Verdana" w:hAnsi="Verdana"/>
          <w:bCs/>
          <w:sz w:val="20"/>
          <w:szCs w:val="20"/>
        </w:rPr>
        <w:t>ipo de recuperaci</w:t>
      </w:r>
      <w:r w:rsidRPr="00B91B50">
        <w:rPr>
          <w:rFonts w:ascii="Verdana" w:hAnsi="Verdana"/>
          <w:bCs/>
          <w:sz w:val="20"/>
          <w:szCs w:val="20"/>
        </w:rPr>
        <w:t>ón</w:t>
      </w:r>
      <w:r w:rsidR="008F6924" w:rsidRPr="00B91B50">
        <w:rPr>
          <w:rFonts w:ascii="Verdana" w:hAnsi="Verdana"/>
          <w:bCs/>
          <w:sz w:val="20"/>
          <w:szCs w:val="20"/>
        </w:rPr>
        <w:t>»</w:t>
      </w:r>
      <w:r w:rsidR="00DF3A10" w:rsidRPr="00B91B50">
        <w:rPr>
          <w:rFonts w:ascii="Verdana" w:hAnsi="Verdana"/>
          <w:bCs/>
          <w:sz w:val="20"/>
          <w:szCs w:val="20"/>
        </w:rPr>
        <w:t xml:space="preserve"> </w:t>
      </w:r>
      <w:r w:rsidR="002956FC" w:rsidRPr="00B91B50">
        <w:rPr>
          <w:rFonts w:ascii="Verdana" w:hAnsi="Verdana"/>
          <w:bCs/>
          <w:sz w:val="20"/>
          <w:szCs w:val="20"/>
        </w:rPr>
        <w:t>del insumo «</w:t>
      </w:r>
      <w:r w:rsidR="00B91B50" w:rsidRPr="00B91B50">
        <w:rPr>
          <w:rFonts w:ascii="Verdana" w:hAnsi="Verdana"/>
          <w:sz w:val="20"/>
          <w:szCs w:val="20"/>
        </w:rPr>
        <w:t>A</w:t>
      </w:r>
      <w:r w:rsidR="005412E0" w:rsidRPr="00B91B50">
        <w:rPr>
          <w:rFonts w:ascii="Verdana" w:hAnsi="Verdana"/>
          <w:sz w:val="20"/>
          <w:szCs w:val="20"/>
        </w:rPr>
        <w:t>tributos de los créditos</w:t>
      </w:r>
      <w:r w:rsidR="00670AFB">
        <w:rPr>
          <w:rFonts w:ascii="Verdana" w:hAnsi="Verdana"/>
          <w:sz w:val="20"/>
          <w:szCs w:val="20"/>
        </w:rPr>
        <w:t xml:space="preserve"> y deudores</w:t>
      </w:r>
      <w:r w:rsidR="002956FC" w:rsidRPr="00B91B50">
        <w:rPr>
          <w:rFonts w:ascii="Verdana" w:hAnsi="Verdana"/>
          <w:bCs/>
          <w:sz w:val="20"/>
          <w:szCs w:val="20"/>
        </w:rPr>
        <w:t>» (MURIC-001-00</w:t>
      </w:r>
      <w:r w:rsidR="00EC0627" w:rsidRPr="00B91B50">
        <w:rPr>
          <w:rFonts w:ascii="Verdana" w:hAnsi="Verdana"/>
          <w:bCs/>
          <w:sz w:val="20"/>
          <w:szCs w:val="20"/>
        </w:rPr>
        <w:t>2</w:t>
      </w:r>
      <w:r w:rsidR="002956FC" w:rsidRPr="00B91B50">
        <w:rPr>
          <w:rFonts w:ascii="Verdana" w:hAnsi="Verdana"/>
          <w:bCs/>
          <w:sz w:val="20"/>
          <w:szCs w:val="20"/>
        </w:rPr>
        <w:t>)</w:t>
      </w:r>
      <w:r w:rsidRPr="00B91B50">
        <w:rPr>
          <w:rFonts w:ascii="Verdana" w:hAnsi="Verdana"/>
          <w:bCs/>
          <w:sz w:val="20"/>
          <w:szCs w:val="20"/>
        </w:rPr>
        <w:t xml:space="preserve">. </w:t>
      </w:r>
    </w:p>
    <w:p w14:paraId="79C6A326" w14:textId="77777777" w:rsidR="0043204F" w:rsidRPr="0043204F" w:rsidRDefault="0043204F" w:rsidP="0043204F">
      <w:pPr>
        <w:pStyle w:val="Prrafodelista"/>
        <w:rPr>
          <w:rFonts w:ascii="Verdana" w:hAnsi="Verdana"/>
          <w:bCs/>
          <w:sz w:val="20"/>
          <w:szCs w:val="20"/>
        </w:rPr>
      </w:pPr>
    </w:p>
    <w:p w14:paraId="7D191C75" w14:textId="5DBF89F2" w:rsidR="00CF627D" w:rsidRPr="00075DE0" w:rsidRDefault="00CB6BD4" w:rsidP="00F46874">
      <w:pPr>
        <w:pStyle w:val="Prrafodelista"/>
        <w:numPr>
          <w:ilvl w:val="0"/>
          <w:numId w:val="10"/>
        </w:numPr>
        <w:ind w:left="567" w:hanging="567"/>
        <w:jc w:val="both"/>
        <w:outlineLvl w:val="0"/>
        <w:rPr>
          <w:rFonts w:ascii="Verdana" w:hAnsi="Verdana"/>
          <w:bCs/>
          <w:sz w:val="20"/>
          <w:szCs w:val="20"/>
        </w:rPr>
      </w:pPr>
      <w:r>
        <w:rPr>
          <w:rFonts w:ascii="Verdana" w:hAnsi="Verdana"/>
          <w:bCs/>
          <w:sz w:val="20"/>
          <w:szCs w:val="20"/>
        </w:rPr>
        <w:t xml:space="preserve">Sin perjuicio de señalar </w:t>
      </w:r>
      <w:r w:rsidR="008004BB">
        <w:rPr>
          <w:rFonts w:ascii="Verdana" w:hAnsi="Verdana"/>
          <w:bCs/>
          <w:sz w:val="20"/>
          <w:szCs w:val="20"/>
        </w:rPr>
        <w:t>la moneda en la cual se estipuló la operación reportada, t</w:t>
      </w:r>
      <w:r w:rsidR="00CF627D" w:rsidRPr="00075DE0">
        <w:rPr>
          <w:rFonts w:ascii="Verdana" w:hAnsi="Verdana"/>
          <w:bCs/>
          <w:sz w:val="20"/>
          <w:szCs w:val="20"/>
        </w:rPr>
        <w:t xml:space="preserve">odos los montos deben reportarse en pesos. </w:t>
      </w:r>
      <w:r w:rsidR="00763A5D" w:rsidRPr="00763A5D">
        <w:rPr>
          <w:rFonts w:ascii="Verdana" w:hAnsi="Verdana"/>
          <w:bCs/>
          <w:sz w:val="20"/>
          <w:szCs w:val="20"/>
          <w:lang w:val="es-ES"/>
        </w:rPr>
        <w:t xml:space="preserve">Si la </w:t>
      </w:r>
      <w:r w:rsidR="003848FA">
        <w:rPr>
          <w:rFonts w:ascii="Verdana" w:hAnsi="Verdana"/>
          <w:bCs/>
          <w:sz w:val="20"/>
          <w:szCs w:val="20"/>
          <w:lang w:val="es-ES"/>
        </w:rPr>
        <w:t>operación</w:t>
      </w:r>
      <w:r w:rsidR="00763A5D" w:rsidRPr="00763A5D">
        <w:rPr>
          <w:rFonts w:ascii="Verdana" w:hAnsi="Verdana"/>
          <w:bCs/>
          <w:sz w:val="20"/>
          <w:szCs w:val="20"/>
          <w:lang w:val="es-ES"/>
        </w:rPr>
        <w:t xml:space="preserve"> se estipuló en dólares de los Estados Unidos de América (USD), el valor deberá multiplicarse por la tasa representativa del mercado (TRM) certificada por la SFC, calculada </w:t>
      </w:r>
      <w:r w:rsidR="00AB589A">
        <w:rPr>
          <w:rFonts w:ascii="Verdana" w:hAnsi="Verdana"/>
          <w:bCs/>
          <w:sz w:val="20"/>
          <w:szCs w:val="20"/>
          <w:lang w:val="es-ES"/>
        </w:rPr>
        <w:t>el día</w:t>
      </w:r>
      <w:r w:rsidR="00930B2E">
        <w:rPr>
          <w:rFonts w:ascii="Verdana" w:hAnsi="Verdana"/>
          <w:bCs/>
          <w:sz w:val="20"/>
          <w:szCs w:val="20"/>
          <w:lang w:val="es-ES"/>
        </w:rPr>
        <w:t xml:space="preserve"> del corte de</w:t>
      </w:r>
      <w:r w:rsidR="003848FA">
        <w:rPr>
          <w:rFonts w:ascii="Verdana" w:hAnsi="Verdana"/>
          <w:bCs/>
          <w:sz w:val="20"/>
          <w:szCs w:val="20"/>
          <w:lang w:val="es-ES"/>
        </w:rPr>
        <w:t xml:space="preserve"> la información objeto de reporte</w:t>
      </w:r>
      <w:r w:rsidR="00763A5D" w:rsidRPr="00763A5D">
        <w:rPr>
          <w:rFonts w:ascii="Verdana" w:hAnsi="Verdana"/>
          <w:bCs/>
          <w:sz w:val="20"/>
          <w:szCs w:val="20"/>
          <w:lang w:val="es-ES"/>
        </w:rPr>
        <w:t>. Si la exposición se registró en una moneda distinta del dólar de los Estados Unidos de América (USD), el valor de la exposición se convierte a dicha moneda con base en las tasas de conversión de divisas publicadas para el día de la fecha de corte de la información en la página web del Banco Central Europeo (BCE), con 6 decimales, aproxima</w:t>
      </w:r>
      <w:r w:rsidR="0025049C">
        <w:rPr>
          <w:rFonts w:ascii="Verdana" w:hAnsi="Verdana"/>
          <w:bCs/>
          <w:sz w:val="20"/>
          <w:szCs w:val="20"/>
          <w:lang w:val="es-ES"/>
        </w:rPr>
        <w:t>n</w:t>
      </w:r>
      <w:r w:rsidR="00763A5D" w:rsidRPr="00763A5D">
        <w:rPr>
          <w:rFonts w:ascii="Verdana" w:hAnsi="Verdana"/>
          <w:bCs/>
          <w:sz w:val="20"/>
          <w:szCs w:val="20"/>
          <w:lang w:val="es-ES"/>
        </w:rPr>
        <w:t xml:space="preserve">do el último por el sistema de redondeo. Cuando la tasa de conversión de la divisa no se encuentre en la página web del </w:t>
      </w:r>
      <w:r w:rsidR="009F7DA8">
        <w:rPr>
          <w:rFonts w:ascii="Verdana" w:hAnsi="Verdana"/>
          <w:bCs/>
          <w:sz w:val="20"/>
          <w:szCs w:val="20"/>
          <w:lang w:val="es-ES"/>
        </w:rPr>
        <w:t>BCE</w:t>
      </w:r>
      <w:r w:rsidR="00763A5D" w:rsidRPr="00763A5D">
        <w:rPr>
          <w:rFonts w:ascii="Verdana" w:hAnsi="Verdana"/>
          <w:bCs/>
          <w:sz w:val="20"/>
          <w:szCs w:val="20"/>
          <w:lang w:val="es-ES"/>
        </w:rPr>
        <w:t xml:space="preserve">, se deberá tomar la tasa de conversión frente al dólar de los Estados Unidos de América (USD) publicada por el Banco Central del respectivo país. El valor así obtenido deberá multiplicarse por </w:t>
      </w:r>
      <w:r w:rsidR="003848FA" w:rsidRPr="00763A5D">
        <w:rPr>
          <w:rFonts w:ascii="Verdana" w:hAnsi="Verdana"/>
          <w:bCs/>
          <w:sz w:val="20"/>
          <w:szCs w:val="20"/>
          <w:lang w:val="es-ES"/>
        </w:rPr>
        <w:t xml:space="preserve">la tasa representativa del mercado (TRM) certificada por la SFC, calculada </w:t>
      </w:r>
      <w:r w:rsidR="003848FA">
        <w:rPr>
          <w:rFonts w:ascii="Verdana" w:hAnsi="Verdana"/>
          <w:bCs/>
          <w:sz w:val="20"/>
          <w:szCs w:val="20"/>
          <w:lang w:val="es-ES"/>
        </w:rPr>
        <w:t>el día del corte de la información objeto de reporte</w:t>
      </w:r>
      <w:r w:rsidR="003848FA" w:rsidRPr="00763A5D">
        <w:rPr>
          <w:rFonts w:ascii="Verdana" w:hAnsi="Verdana"/>
          <w:bCs/>
          <w:sz w:val="20"/>
          <w:szCs w:val="20"/>
          <w:lang w:val="es-ES"/>
        </w:rPr>
        <w:t>.</w:t>
      </w:r>
    </w:p>
    <w:p w14:paraId="4BCCDA4A" w14:textId="77777777" w:rsidR="003A6651" w:rsidRDefault="003A6651" w:rsidP="003A6651">
      <w:pPr>
        <w:pStyle w:val="Prrafodelista"/>
        <w:ind w:left="567"/>
        <w:jc w:val="both"/>
        <w:outlineLvl w:val="0"/>
        <w:rPr>
          <w:rFonts w:ascii="Verdana" w:hAnsi="Verdana"/>
          <w:bCs/>
          <w:sz w:val="20"/>
          <w:szCs w:val="20"/>
        </w:rPr>
      </w:pPr>
    </w:p>
    <w:p w14:paraId="636DB7FF" w14:textId="36B03FCB" w:rsidR="00F46874" w:rsidRDefault="00CF627D" w:rsidP="00F46874">
      <w:pPr>
        <w:pStyle w:val="Prrafodelista"/>
        <w:numPr>
          <w:ilvl w:val="0"/>
          <w:numId w:val="10"/>
        </w:numPr>
        <w:ind w:left="567" w:hanging="567"/>
        <w:jc w:val="both"/>
        <w:outlineLvl w:val="0"/>
        <w:rPr>
          <w:rFonts w:ascii="Verdana" w:hAnsi="Verdana"/>
          <w:bCs/>
          <w:sz w:val="20"/>
          <w:szCs w:val="20"/>
        </w:rPr>
      </w:pPr>
      <w:r w:rsidRPr="00075DE0">
        <w:rPr>
          <w:rFonts w:ascii="Verdana" w:hAnsi="Verdana"/>
          <w:bCs/>
          <w:sz w:val="20"/>
          <w:szCs w:val="20"/>
        </w:rPr>
        <w:t>Todos los valores numéricos (</w:t>
      </w:r>
      <w:r w:rsidR="00306F77">
        <w:rPr>
          <w:rFonts w:ascii="Verdana" w:hAnsi="Verdana"/>
          <w:bCs/>
          <w:sz w:val="20"/>
          <w:szCs w:val="20"/>
        </w:rPr>
        <w:t xml:space="preserve">tales </w:t>
      </w:r>
      <w:r w:rsidRPr="00075DE0">
        <w:rPr>
          <w:rFonts w:ascii="Verdana" w:hAnsi="Verdana"/>
          <w:bCs/>
          <w:sz w:val="20"/>
          <w:szCs w:val="20"/>
        </w:rPr>
        <w:t>como saldos, intereses, provisiones, días de mora</w:t>
      </w:r>
      <w:r w:rsidR="00E44FCC">
        <w:rPr>
          <w:rFonts w:ascii="Verdana" w:hAnsi="Verdana"/>
          <w:bCs/>
          <w:sz w:val="20"/>
          <w:szCs w:val="20"/>
        </w:rPr>
        <w:t>, entre otros</w:t>
      </w:r>
      <w:r w:rsidRPr="00075DE0">
        <w:rPr>
          <w:rFonts w:ascii="Verdana" w:hAnsi="Verdana"/>
          <w:bCs/>
          <w:sz w:val="20"/>
          <w:szCs w:val="20"/>
        </w:rPr>
        <w:t>) deben ser mayores o iguales a cero. No se permiten valores negativos.</w:t>
      </w:r>
    </w:p>
    <w:p w14:paraId="03389299" w14:textId="77777777" w:rsidR="00F46874" w:rsidRPr="00F46874" w:rsidRDefault="00F46874" w:rsidP="00F46874">
      <w:pPr>
        <w:pStyle w:val="Prrafodelista"/>
        <w:rPr>
          <w:rFonts w:ascii="Verdana" w:hAnsi="Verdana"/>
          <w:bCs/>
          <w:sz w:val="20"/>
          <w:szCs w:val="20"/>
        </w:rPr>
      </w:pPr>
    </w:p>
    <w:p w14:paraId="4C826944" w14:textId="27074778" w:rsidR="00CF627D" w:rsidRPr="0081149D" w:rsidRDefault="00CF627D" w:rsidP="00F46874">
      <w:pPr>
        <w:pStyle w:val="Prrafodelista"/>
        <w:numPr>
          <w:ilvl w:val="0"/>
          <w:numId w:val="10"/>
        </w:numPr>
        <w:ind w:left="567" w:hanging="567"/>
        <w:jc w:val="both"/>
        <w:outlineLvl w:val="0"/>
        <w:rPr>
          <w:rFonts w:ascii="Verdana" w:hAnsi="Verdana"/>
          <w:bCs/>
          <w:sz w:val="20"/>
          <w:szCs w:val="20"/>
        </w:rPr>
      </w:pPr>
      <w:r w:rsidRPr="0081149D">
        <w:rPr>
          <w:rFonts w:ascii="Verdana" w:hAnsi="Verdana"/>
          <w:bCs/>
          <w:sz w:val="20"/>
          <w:szCs w:val="20"/>
        </w:rPr>
        <w:t>Las variables</w:t>
      </w:r>
      <w:r w:rsidR="0081149D" w:rsidRPr="0081149D">
        <w:rPr>
          <w:rFonts w:ascii="Verdana" w:hAnsi="Verdana"/>
          <w:bCs/>
          <w:sz w:val="20"/>
          <w:szCs w:val="20"/>
        </w:rPr>
        <w:t xml:space="preserve"> </w:t>
      </w:r>
      <w:r w:rsidR="00A67CE8">
        <w:rPr>
          <w:rFonts w:ascii="Verdana" w:hAnsi="Verdana"/>
          <w:bCs/>
          <w:sz w:val="20"/>
          <w:szCs w:val="20"/>
        </w:rPr>
        <w:t xml:space="preserve">o atributos </w:t>
      </w:r>
      <w:r w:rsidR="0081149D" w:rsidRPr="0081149D">
        <w:rPr>
          <w:rFonts w:ascii="Verdana" w:hAnsi="Verdana"/>
          <w:bCs/>
          <w:sz w:val="20"/>
          <w:szCs w:val="20"/>
        </w:rPr>
        <w:t>porcentuales</w:t>
      </w:r>
      <w:r w:rsidRPr="0081149D">
        <w:rPr>
          <w:rFonts w:ascii="Verdana" w:hAnsi="Verdana"/>
          <w:bCs/>
          <w:sz w:val="20"/>
          <w:szCs w:val="20"/>
        </w:rPr>
        <w:t xml:space="preserve"> se reportan en términos decimales</w:t>
      </w:r>
      <w:r w:rsidR="008B1535">
        <w:rPr>
          <w:rFonts w:ascii="Verdana" w:hAnsi="Verdana"/>
          <w:bCs/>
          <w:sz w:val="20"/>
          <w:szCs w:val="20"/>
        </w:rPr>
        <w:t xml:space="preserve"> con 4 decimales</w:t>
      </w:r>
      <w:r w:rsidR="00DB1CA4">
        <w:rPr>
          <w:rFonts w:ascii="Verdana" w:hAnsi="Verdana"/>
          <w:bCs/>
          <w:sz w:val="20"/>
          <w:szCs w:val="20"/>
        </w:rPr>
        <w:t xml:space="preserve"> </w:t>
      </w:r>
      <w:r w:rsidR="000D5B07">
        <w:rPr>
          <w:rFonts w:ascii="Verdana" w:hAnsi="Verdana"/>
          <w:bCs/>
          <w:sz w:val="20"/>
          <w:szCs w:val="20"/>
        </w:rPr>
        <w:t>separados por coma, aproximando el último decimal por el sistema de redondeo</w:t>
      </w:r>
      <w:r w:rsidR="00850556">
        <w:rPr>
          <w:rFonts w:ascii="Verdana" w:hAnsi="Verdana"/>
          <w:bCs/>
          <w:sz w:val="20"/>
          <w:szCs w:val="20"/>
        </w:rPr>
        <w:t>. Por</w:t>
      </w:r>
      <w:r w:rsidRPr="0081149D">
        <w:rPr>
          <w:rFonts w:ascii="Verdana" w:hAnsi="Verdana"/>
          <w:bCs/>
          <w:sz w:val="20"/>
          <w:szCs w:val="20"/>
        </w:rPr>
        <w:t xml:space="preserve"> ejemplo: 25,32% se reporta como 0</w:t>
      </w:r>
      <w:r w:rsidR="00EA76BD">
        <w:rPr>
          <w:rFonts w:ascii="Verdana" w:hAnsi="Verdana"/>
          <w:bCs/>
          <w:sz w:val="20"/>
          <w:szCs w:val="20"/>
        </w:rPr>
        <w:t>,</w:t>
      </w:r>
      <w:r w:rsidRPr="0081149D">
        <w:rPr>
          <w:rFonts w:ascii="Verdana" w:hAnsi="Verdana"/>
          <w:bCs/>
          <w:sz w:val="20"/>
          <w:szCs w:val="20"/>
        </w:rPr>
        <w:t xml:space="preserve">2532. </w:t>
      </w:r>
    </w:p>
    <w:p w14:paraId="76618879" w14:textId="77777777" w:rsidR="005D1C84" w:rsidRPr="00075DE0" w:rsidRDefault="005D1C84" w:rsidP="00CF627D">
      <w:pPr>
        <w:pStyle w:val="Prrafodelista"/>
        <w:ind w:left="502"/>
        <w:jc w:val="both"/>
        <w:outlineLvl w:val="0"/>
        <w:rPr>
          <w:rFonts w:ascii="Verdana" w:hAnsi="Verdana"/>
          <w:bCs/>
          <w:sz w:val="20"/>
          <w:szCs w:val="20"/>
        </w:rPr>
      </w:pPr>
    </w:p>
    <w:p w14:paraId="2093DA32" w14:textId="10077409" w:rsidR="00CF627D" w:rsidRPr="002637E4" w:rsidRDefault="00CF627D" w:rsidP="002637E4">
      <w:pPr>
        <w:pStyle w:val="Prrafodelista"/>
        <w:numPr>
          <w:ilvl w:val="0"/>
          <w:numId w:val="10"/>
        </w:numPr>
        <w:ind w:left="567" w:hanging="567"/>
        <w:jc w:val="both"/>
        <w:outlineLvl w:val="0"/>
        <w:rPr>
          <w:rFonts w:ascii="Verdana" w:hAnsi="Verdana"/>
          <w:bCs/>
          <w:sz w:val="20"/>
          <w:szCs w:val="20"/>
        </w:rPr>
      </w:pPr>
      <w:r w:rsidRPr="002637E4">
        <w:rPr>
          <w:rFonts w:ascii="Verdana" w:hAnsi="Verdana"/>
          <w:bCs/>
          <w:sz w:val="20"/>
          <w:szCs w:val="20"/>
        </w:rPr>
        <w:t xml:space="preserve">Las sociedades fiduciarias </w:t>
      </w:r>
      <w:r w:rsidR="00045A95" w:rsidRPr="002637E4">
        <w:rPr>
          <w:rFonts w:ascii="Verdana" w:hAnsi="Verdana"/>
          <w:bCs/>
          <w:sz w:val="20"/>
          <w:szCs w:val="20"/>
        </w:rPr>
        <w:t xml:space="preserve">deberán reportar </w:t>
      </w:r>
      <w:r w:rsidR="00DD6396">
        <w:rPr>
          <w:rFonts w:ascii="Verdana" w:hAnsi="Verdana"/>
          <w:bCs/>
          <w:sz w:val="20"/>
          <w:szCs w:val="20"/>
        </w:rPr>
        <w:t>lo siguiente</w:t>
      </w:r>
      <w:r w:rsidR="006E25A5" w:rsidRPr="002637E4">
        <w:rPr>
          <w:rFonts w:ascii="Verdana" w:hAnsi="Verdana"/>
          <w:bCs/>
          <w:sz w:val="20"/>
          <w:szCs w:val="20"/>
        </w:rPr>
        <w:t>: (i)</w:t>
      </w:r>
      <w:r w:rsidRPr="002637E4">
        <w:rPr>
          <w:rFonts w:ascii="Verdana" w:hAnsi="Verdana"/>
          <w:bCs/>
          <w:sz w:val="20"/>
          <w:szCs w:val="20"/>
        </w:rPr>
        <w:t xml:space="preserve"> </w:t>
      </w:r>
      <w:r w:rsidR="00C41F66" w:rsidRPr="002637E4">
        <w:rPr>
          <w:rFonts w:ascii="Verdana" w:hAnsi="Verdana"/>
          <w:bCs/>
          <w:sz w:val="20"/>
          <w:szCs w:val="20"/>
        </w:rPr>
        <w:t xml:space="preserve">negocios fiduciarios que </w:t>
      </w:r>
      <w:r w:rsidRPr="002637E4">
        <w:rPr>
          <w:rFonts w:ascii="Verdana" w:hAnsi="Verdana"/>
          <w:bCs/>
          <w:sz w:val="20"/>
          <w:szCs w:val="20"/>
        </w:rPr>
        <w:t xml:space="preserve">administren cartera de </w:t>
      </w:r>
      <w:r w:rsidR="00913F80" w:rsidRPr="002637E4">
        <w:rPr>
          <w:rFonts w:ascii="Verdana" w:hAnsi="Verdana"/>
          <w:bCs/>
          <w:sz w:val="20"/>
          <w:szCs w:val="20"/>
        </w:rPr>
        <w:t>crédito (incluyen</w:t>
      </w:r>
      <w:r w:rsidR="006E25A5" w:rsidRPr="002637E4">
        <w:rPr>
          <w:rFonts w:ascii="Verdana" w:hAnsi="Verdana"/>
          <w:bCs/>
          <w:sz w:val="20"/>
          <w:szCs w:val="20"/>
        </w:rPr>
        <w:t>do</w:t>
      </w:r>
      <w:r w:rsidR="00913F80" w:rsidRPr="002637E4">
        <w:rPr>
          <w:rFonts w:ascii="Verdana" w:hAnsi="Verdana"/>
          <w:bCs/>
          <w:sz w:val="20"/>
          <w:szCs w:val="20"/>
        </w:rPr>
        <w:t xml:space="preserve"> cartera por</w:t>
      </w:r>
      <w:r w:rsidRPr="002637E4">
        <w:rPr>
          <w:rFonts w:ascii="Verdana" w:hAnsi="Verdana"/>
          <w:bCs/>
          <w:sz w:val="20"/>
          <w:szCs w:val="20"/>
        </w:rPr>
        <w:t xml:space="preserve"> contratos de leasing</w:t>
      </w:r>
      <w:r w:rsidR="00913F80" w:rsidRPr="002637E4">
        <w:rPr>
          <w:rFonts w:ascii="Verdana" w:hAnsi="Verdana"/>
          <w:bCs/>
          <w:sz w:val="20"/>
          <w:szCs w:val="20"/>
        </w:rPr>
        <w:t xml:space="preserve">) </w:t>
      </w:r>
      <w:r w:rsidRPr="002637E4">
        <w:rPr>
          <w:rFonts w:ascii="Verdana" w:hAnsi="Verdana"/>
          <w:bCs/>
          <w:sz w:val="20"/>
          <w:szCs w:val="20"/>
        </w:rPr>
        <w:t>originad</w:t>
      </w:r>
      <w:r w:rsidR="006E25A5" w:rsidRPr="002637E4">
        <w:rPr>
          <w:rFonts w:ascii="Verdana" w:hAnsi="Verdana"/>
          <w:bCs/>
          <w:sz w:val="20"/>
          <w:szCs w:val="20"/>
        </w:rPr>
        <w:t>a</w:t>
      </w:r>
      <w:r w:rsidRPr="002637E4">
        <w:rPr>
          <w:rFonts w:ascii="Verdana" w:hAnsi="Verdana"/>
          <w:bCs/>
          <w:sz w:val="20"/>
          <w:szCs w:val="20"/>
        </w:rPr>
        <w:t xml:space="preserve"> </w:t>
      </w:r>
      <w:r w:rsidR="00875D91">
        <w:rPr>
          <w:rFonts w:ascii="Verdana" w:hAnsi="Verdana"/>
          <w:bCs/>
          <w:sz w:val="20"/>
          <w:szCs w:val="20"/>
        </w:rPr>
        <w:t>por establecimientos de crédito</w:t>
      </w:r>
      <w:r w:rsidR="00472AA7" w:rsidRPr="002637E4">
        <w:rPr>
          <w:rFonts w:ascii="Verdana" w:hAnsi="Verdana"/>
          <w:bCs/>
          <w:sz w:val="20"/>
          <w:szCs w:val="20"/>
        </w:rPr>
        <w:t>;</w:t>
      </w:r>
      <w:r w:rsidRPr="002637E4">
        <w:rPr>
          <w:rFonts w:ascii="Verdana" w:hAnsi="Verdana"/>
          <w:bCs/>
          <w:sz w:val="20"/>
          <w:szCs w:val="20"/>
        </w:rPr>
        <w:t xml:space="preserve"> </w:t>
      </w:r>
      <w:r w:rsidR="00926F03" w:rsidRPr="002637E4">
        <w:rPr>
          <w:rFonts w:ascii="Verdana" w:hAnsi="Verdana"/>
          <w:bCs/>
          <w:sz w:val="20"/>
          <w:szCs w:val="20"/>
        </w:rPr>
        <w:t>y/</w:t>
      </w:r>
      <w:r w:rsidRPr="002637E4">
        <w:rPr>
          <w:rFonts w:ascii="Verdana" w:hAnsi="Verdana"/>
          <w:bCs/>
          <w:sz w:val="20"/>
          <w:szCs w:val="20"/>
        </w:rPr>
        <w:t>o</w:t>
      </w:r>
      <w:r w:rsidR="00472AA7" w:rsidRPr="002637E4">
        <w:rPr>
          <w:rFonts w:ascii="Verdana" w:hAnsi="Verdana"/>
          <w:bCs/>
          <w:sz w:val="20"/>
          <w:szCs w:val="20"/>
        </w:rPr>
        <w:t xml:space="preserve"> (ii)</w:t>
      </w:r>
      <w:r w:rsidRPr="002637E4">
        <w:rPr>
          <w:rFonts w:ascii="Verdana" w:hAnsi="Verdana"/>
          <w:bCs/>
          <w:sz w:val="20"/>
          <w:szCs w:val="20"/>
        </w:rPr>
        <w:t xml:space="preserve"> </w:t>
      </w:r>
      <w:r w:rsidR="00472AA7" w:rsidRPr="002637E4">
        <w:rPr>
          <w:rFonts w:ascii="Verdana" w:hAnsi="Verdana"/>
          <w:bCs/>
          <w:sz w:val="20"/>
          <w:szCs w:val="20"/>
        </w:rPr>
        <w:t xml:space="preserve">negocios </w:t>
      </w:r>
      <w:r w:rsidRPr="002637E4">
        <w:rPr>
          <w:rFonts w:ascii="Verdana" w:hAnsi="Verdana"/>
          <w:bCs/>
          <w:sz w:val="20"/>
          <w:szCs w:val="20"/>
        </w:rPr>
        <w:t>constituidos como resultado de procesos de titularización de cartera originad</w:t>
      </w:r>
      <w:r w:rsidR="00472AA7" w:rsidRPr="002637E4">
        <w:rPr>
          <w:rFonts w:ascii="Verdana" w:hAnsi="Verdana"/>
          <w:bCs/>
          <w:sz w:val="20"/>
          <w:szCs w:val="20"/>
        </w:rPr>
        <w:t>a</w:t>
      </w:r>
      <w:r w:rsidRPr="002637E4">
        <w:rPr>
          <w:rFonts w:ascii="Verdana" w:hAnsi="Verdana"/>
          <w:bCs/>
          <w:sz w:val="20"/>
          <w:szCs w:val="20"/>
        </w:rPr>
        <w:t xml:space="preserve"> </w:t>
      </w:r>
      <w:r w:rsidR="005D312D">
        <w:rPr>
          <w:rFonts w:ascii="Verdana" w:hAnsi="Verdana"/>
          <w:bCs/>
          <w:sz w:val="20"/>
          <w:szCs w:val="20"/>
        </w:rPr>
        <w:t>por establecimientos de crédito</w:t>
      </w:r>
      <w:r w:rsidR="00C107AC">
        <w:rPr>
          <w:rFonts w:ascii="Verdana" w:hAnsi="Verdana"/>
          <w:bCs/>
          <w:sz w:val="20"/>
          <w:szCs w:val="20"/>
        </w:rPr>
        <w:t>.</w:t>
      </w:r>
    </w:p>
    <w:p w14:paraId="57E16C6A" w14:textId="77777777" w:rsidR="00C95AD6" w:rsidRDefault="00C95AD6" w:rsidP="00C95AD6">
      <w:pPr>
        <w:pStyle w:val="Prrafodelista"/>
        <w:ind w:left="567"/>
        <w:jc w:val="both"/>
        <w:outlineLvl w:val="0"/>
        <w:rPr>
          <w:rFonts w:ascii="Verdana" w:hAnsi="Verdana"/>
          <w:bCs/>
          <w:sz w:val="20"/>
          <w:szCs w:val="20"/>
        </w:rPr>
      </w:pPr>
    </w:p>
    <w:p w14:paraId="01F7833B" w14:textId="68BD9C3F" w:rsidR="00C55363" w:rsidRDefault="00C55363" w:rsidP="00F6358D">
      <w:pPr>
        <w:pStyle w:val="Prrafodelista"/>
        <w:ind w:left="567"/>
        <w:jc w:val="both"/>
        <w:outlineLvl w:val="0"/>
        <w:rPr>
          <w:rFonts w:ascii="Verdana" w:hAnsi="Verdana"/>
          <w:bCs/>
          <w:sz w:val="20"/>
          <w:szCs w:val="20"/>
        </w:rPr>
      </w:pPr>
      <w:r w:rsidRPr="00075DE0">
        <w:rPr>
          <w:rFonts w:ascii="Verdana" w:hAnsi="Verdana"/>
          <w:bCs/>
          <w:sz w:val="20"/>
          <w:szCs w:val="20"/>
        </w:rPr>
        <w:t xml:space="preserve">Las </w:t>
      </w:r>
      <w:r>
        <w:rPr>
          <w:rFonts w:ascii="Verdana" w:hAnsi="Verdana"/>
          <w:bCs/>
          <w:sz w:val="20"/>
          <w:szCs w:val="20"/>
        </w:rPr>
        <w:t xml:space="preserve">sociedades </w:t>
      </w:r>
      <w:r w:rsidR="00A4014B" w:rsidRPr="002637E4">
        <w:rPr>
          <w:rFonts w:ascii="Verdana" w:hAnsi="Verdana"/>
          <w:bCs/>
          <w:sz w:val="20"/>
          <w:szCs w:val="20"/>
        </w:rPr>
        <w:t xml:space="preserve">fiduciarias </w:t>
      </w:r>
      <w:r w:rsidR="00BF63F7">
        <w:rPr>
          <w:rFonts w:ascii="Verdana" w:hAnsi="Verdana"/>
          <w:bCs/>
          <w:sz w:val="20"/>
          <w:szCs w:val="20"/>
        </w:rPr>
        <w:t xml:space="preserve">que </w:t>
      </w:r>
      <w:r w:rsidR="005367FA">
        <w:rPr>
          <w:rFonts w:ascii="Verdana" w:hAnsi="Verdana"/>
          <w:bCs/>
          <w:sz w:val="20"/>
          <w:szCs w:val="20"/>
        </w:rPr>
        <w:t xml:space="preserve">administren </w:t>
      </w:r>
      <w:r w:rsidR="005367FA" w:rsidRPr="002637E4">
        <w:rPr>
          <w:rFonts w:ascii="Verdana" w:hAnsi="Verdana"/>
          <w:bCs/>
          <w:sz w:val="20"/>
          <w:szCs w:val="20"/>
        </w:rPr>
        <w:t xml:space="preserve">negocios constituidos como resultado de los procesos de titularización de cartera originada </w:t>
      </w:r>
      <w:r w:rsidR="005367FA">
        <w:rPr>
          <w:rFonts w:ascii="Verdana" w:hAnsi="Verdana"/>
          <w:bCs/>
          <w:sz w:val="20"/>
          <w:szCs w:val="20"/>
        </w:rPr>
        <w:t>por establecimientos de crédito</w:t>
      </w:r>
      <w:r w:rsidR="005367FA" w:rsidRPr="00926F03">
        <w:rPr>
          <w:rFonts w:ascii="Verdana" w:hAnsi="Verdana"/>
          <w:bCs/>
          <w:sz w:val="20"/>
          <w:szCs w:val="20"/>
        </w:rPr>
        <w:t xml:space="preserve"> </w:t>
      </w:r>
      <w:r w:rsidR="005367FA">
        <w:rPr>
          <w:rFonts w:ascii="Verdana" w:hAnsi="Verdana"/>
          <w:bCs/>
          <w:sz w:val="20"/>
          <w:szCs w:val="20"/>
        </w:rPr>
        <w:t xml:space="preserve">solo </w:t>
      </w:r>
      <w:r w:rsidRPr="00926F03">
        <w:rPr>
          <w:rFonts w:ascii="Verdana" w:hAnsi="Verdana"/>
          <w:bCs/>
          <w:sz w:val="20"/>
          <w:szCs w:val="20"/>
        </w:rPr>
        <w:t>deben reportar la cartera de</w:t>
      </w:r>
      <w:r w:rsidR="005108B3">
        <w:rPr>
          <w:rFonts w:ascii="Verdana" w:hAnsi="Verdana"/>
          <w:bCs/>
          <w:sz w:val="20"/>
          <w:szCs w:val="20"/>
        </w:rPr>
        <w:t>l</w:t>
      </w:r>
      <w:r w:rsidRPr="00926F03">
        <w:rPr>
          <w:rFonts w:ascii="Verdana" w:hAnsi="Verdana"/>
          <w:bCs/>
          <w:sz w:val="20"/>
          <w:szCs w:val="20"/>
        </w:rPr>
        <w:t xml:space="preserve"> </w:t>
      </w:r>
      <w:r w:rsidR="005367FA">
        <w:rPr>
          <w:rFonts w:ascii="Verdana" w:hAnsi="Verdana"/>
          <w:bCs/>
          <w:sz w:val="20"/>
          <w:szCs w:val="20"/>
        </w:rPr>
        <w:t>negocio</w:t>
      </w:r>
      <w:r>
        <w:rPr>
          <w:rFonts w:ascii="Verdana" w:hAnsi="Verdana"/>
          <w:bCs/>
          <w:sz w:val="20"/>
          <w:szCs w:val="20"/>
        </w:rPr>
        <w:t xml:space="preserve"> cuando </w:t>
      </w:r>
      <w:r w:rsidR="00543979">
        <w:rPr>
          <w:rFonts w:ascii="Verdana" w:hAnsi="Verdana"/>
          <w:bCs/>
          <w:sz w:val="20"/>
          <w:szCs w:val="20"/>
        </w:rPr>
        <w:t>supere</w:t>
      </w:r>
      <w:r w:rsidRPr="00BA1A8C">
        <w:rPr>
          <w:rFonts w:ascii="Verdana" w:hAnsi="Verdana"/>
          <w:bCs/>
          <w:sz w:val="20"/>
          <w:szCs w:val="20"/>
        </w:rPr>
        <w:t xml:space="preserve"> el 10% de</w:t>
      </w:r>
      <w:r w:rsidR="007920B1">
        <w:rPr>
          <w:rFonts w:ascii="Verdana" w:hAnsi="Verdana"/>
          <w:bCs/>
          <w:sz w:val="20"/>
          <w:szCs w:val="20"/>
        </w:rPr>
        <w:t>l</w:t>
      </w:r>
      <w:r w:rsidRPr="00BA1A8C">
        <w:rPr>
          <w:rFonts w:ascii="Verdana" w:hAnsi="Verdana"/>
          <w:bCs/>
          <w:sz w:val="20"/>
          <w:szCs w:val="20"/>
        </w:rPr>
        <w:t xml:space="preserve"> patrimonio técnico</w:t>
      </w:r>
      <w:r w:rsidR="007920B1">
        <w:rPr>
          <w:rFonts w:ascii="Verdana" w:hAnsi="Verdana"/>
          <w:bCs/>
          <w:sz w:val="20"/>
          <w:szCs w:val="20"/>
        </w:rPr>
        <w:t xml:space="preserve"> de la sociedad fiduciaria</w:t>
      </w:r>
      <w:r w:rsidRPr="00BA1A8C">
        <w:rPr>
          <w:rFonts w:ascii="Verdana" w:hAnsi="Verdana"/>
          <w:bCs/>
          <w:sz w:val="20"/>
          <w:szCs w:val="20"/>
        </w:rPr>
        <w:t xml:space="preserve"> al corte del mes inmediatamente anterior.</w:t>
      </w:r>
    </w:p>
    <w:p w14:paraId="1127C1C7" w14:textId="77777777" w:rsidR="00F6358D" w:rsidRPr="00F6358D" w:rsidRDefault="00F6358D" w:rsidP="00F6358D">
      <w:pPr>
        <w:pStyle w:val="Prrafodelista"/>
        <w:ind w:left="567"/>
        <w:jc w:val="both"/>
        <w:outlineLvl w:val="0"/>
        <w:rPr>
          <w:rFonts w:ascii="Verdana" w:hAnsi="Verdana"/>
          <w:bCs/>
          <w:sz w:val="20"/>
          <w:szCs w:val="20"/>
        </w:rPr>
      </w:pPr>
    </w:p>
    <w:p w14:paraId="63267D1D" w14:textId="75B381D7" w:rsidR="00CF627D" w:rsidRDefault="00CF627D" w:rsidP="00F46874">
      <w:pPr>
        <w:pStyle w:val="Prrafodelista"/>
        <w:ind w:left="567"/>
        <w:jc w:val="both"/>
        <w:outlineLvl w:val="0"/>
        <w:rPr>
          <w:rFonts w:ascii="Verdana" w:hAnsi="Verdana"/>
          <w:bCs/>
          <w:sz w:val="20"/>
          <w:szCs w:val="20"/>
        </w:rPr>
      </w:pPr>
      <w:r w:rsidRPr="00075DE0">
        <w:rPr>
          <w:rFonts w:ascii="Verdana" w:hAnsi="Verdana"/>
          <w:bCs/>
          <w:sz w:val="20"/>
          <w:szCs w:val="20"/>
        </w:rPr>
        <w:t>En el evento en que el fideicomitente sea una entidad vigilada por la SFC</w:t>
      </w:r>
      <w:r w:rsidR="00160F84">
        <w:rPr>
          <w:rFonts w:ascii="Verdana" w:hAnsi="Verdana"/>
          <w:bCs/>
          <w:sz w:val="20"/>
          <w:szCs w:val="20"/>
        </w:rPr>
        <w:t>, en el reporte se</w:t>
      </w:r>
      <w:r w:rsidRPr="00075DE0">
        <w:rPr>
          <w:rFonts w:ascii="Verdana" w:hAnsi="Verdana"/>
          <w:bCs/>
          <w:sz w:val="20"/>
          <w:szCs w:val="20"/>
        </w:rPr>
        <w:t xml:space="preserve"> debe</w:t>
      </w:r>
      <w:r w:rsidR="00160F84">
        <w:rPr>
          <w:rFonts w:ascii="Verdana" w:hAnsi="Verdana"/>
          <w:bCs/>
          <w:sz w:val="20"/>
          <w:szCs w:val="20"/>
        </w:rPr>
        <w:t xml:space="preserve"> </w:t>
      </w:r>
      <w:r w:rsidRPr="00075DE0">
        <w:rPr>
          <w:rFonts w:ascii="Verdana" w:hAnsi="Verdana"/>
          <w:bCs/>
          <w:sz w:val="20"/>
          <w:szCs w:val="20"/>
        </w:rPr>
        <w:t xml:space="preserve">registrar el tipo y código de la entidad vigilada que constituyó el fideicomiso. </w:t>
      </w:r>
      <w:r w:rsidR="00E9499F">
        <w:rPr>
          <w:rFonts w:ascii="Verdana" w:hAnsi="Verdana"/>
          <w:bCs/>
          <w:sz w:val="20"/>
          <w:szCs w:val="20"/>
        </w:rPr>
        <w:t>Cuando</w:t>
      </w:r>
      <w:r w:rsidR="007D16CB">
        <w:rPr>
          <w:rFonts w:ascii="Verdana" w:hAnsi="Verdana"/>
          <w:bCs/>
          <w:sz w:val="20"/>
          <w:szCs w:val="20"/>
        </w:rPr>
        <w:t xml:space="preserve"> </w:t>
      </w:r>
      <w:r w:rsidR="00B77589">
        <w:rPr>
          <w:rFonts w:ascii="Verdana" w:hAnsi="Verdana"/>
          <w:bCs/>
          <w:sz w:val="20"/>
          <w:szCs w:val="20"/>
        </w:rPr>
        <w:t xml:space="preserve">el </w:t>
      </w:r>
      <w:r w:rsidRPr="00075DE0">
        <w:rPr>
          <w:rFonts w:ascii="Verdana" w:hAnsi="Verdana"/>
          <w:bCs/>
          <w:sz w:val="20"/>
          <w:szCs w:val="20"/>
        </w:rPr>
        <w:t xml:space="preserve">fideicomitente no sea una entidad vigilada por la SFC, </w:t>
      </w:r>
      <w:r w:rsidR="005F66C8">
        <w:rPr>
          <w:rFonts w:ascii="Verdana" w:hAnsi="Verdana"/>
          <w:bCs/>
          <w:sz w:val="20"/>
          <w:szCs w:val="20"/>
        </w:rPr>
        <w:t xml:space="preserve">en el reporte se </w:t>
      </w:r>
      <w:r w:rsidRPr="00075DE0">
        <w:rPr>
          <w:rFonts w:ascii="Verdana" w:hAnsi="Verdana"/>
          <w:bCs/>
          <w:sz w:val="20"/>
          <w:szCs w:val="20"/>
        </w:rPr>
        <w:t>debe</w:t>
      </w:r>
      <w:r w:rsidR="005F66C8">
        <w:rPr>
          <w:rFonts w:ascii="Verdana" w:hAnsi="Verdana"/>
          <w:bCs/>
          <w:sz w:val="20"/>
          <w:szCs w:val="20"/>
        </w:rPr>
        <w:t xml:space="preserve"> </w:t>
      </w:r>
      <w:r w:rsidRPr="00075DE0">
        <w:rPr>
          <w:rFonts w:ascii="Verdana" w:hAnsi="Verdana"/>
          <w:bCs/>
          <w:sz w:val="20"/>
          <w:szCs w:val="20"/>
        </w:rPr>
        <w:t>identificar el tipo y código de la entidad vigilada donde se originó esta operación.</w:t>
      </w:r>
    </w:p>
    <w:p w14:paraId="0A9EF178" w14:textId="77777777" w:rsidR="00120BC2" w:rsidRDefault="00120BC2" w:rsidP="00F46874">
      <w:pPr>
        <w:pStyle w:val="Prrafodelista"/>
        <w:ind w:left="567"/>
        <w:jc w:val="both"/>
        <w:outlineLvl w:val="0"/>
        <w:rPr>
          <w:rFonts w:ascii="Verdana" w:hAnsi="Verdana"/>
          <w:bCs/>
          <w:sz w:val="20"/>
          <w:szCs w:val="20"/>
        </w:rPr>
      </w:pPr>
    </w:p>
    <w:p w14:paraId="219E729D" w14:textId="3FF65925" w:rsidR="00120BC2" w:rsidRPr="00267347" w:rsidRDefault="00120BC2" w:rsidP="00267347">
      <w:pPr>
        <w:pStyle w:val="Prrafodelista"/>
        <w:ind w:left="567"/>
        <w:jc w:val="both"/>
        <w:outlineLvl w:val="0"/>
        <w:rPr>
          <w:rFonts w:ascii="Verdana" w:hAnsi="Verdana"/>
          <w:bCs/>
          <w:sz w:val="20"/>
          <w:szCs w:val="20"/>
        </w:rPr>
      </w:pPr>
      <w:r>
        <w:rPr>
          <w:rFonts w:ascii="Verdana" w:hAnsi="Verdana"/>
          <w:bCs/>
          <w:sz w:val="20"/>
          <w:szCs w:val="20"/>
        </w:rPr>
        <w:t>El reporte de las</w:t>
      </w:r>
      <w:r w:rsidRPr="00075DE0">
        <w:rPr>
          <w:rFonts w:ascii="Verdana" w:hAnsi="Verdana"/>
          <w:bCs/>
          <w:sz w:val="20"/>
          <w:szCs w:val="20"/>
        </w:rPr>
        <w:t xml:space="preserve"> sociedades fiduciarias</w:t>
      </w:r>
      <w:r>
        <w:rPr>
          <w:rFonts w:ascii="Verdana" w:hAnsi="Verdana"/>
          <w:bCs/>
          <w:sz w:val="20"/>
          <w:szCs w:val="20"/>
        </w:rPr>
        <w:t xml:space="preserve"> </w:t>
      </w:r>
      <w:r w:rsidRPr="00075DE0">
        <w:rPr>
          <w:rFonts w:ascii="Verdana" w:hAnsi="Verdana" w:cs="Arial"/>
          <w:sz w:val="20"/>
          <w:szCs w:val="20"/>
        </w:rPr>
        <w:t xml:space="preserve">por cuenta de </w:t>
      </w:r>
      <w:r>
        <w:rPr>
          <w:rFonts w:ascii="Verdana" w:hAnsi="Verdana" w:cs="Arial"/>
          <w:sz w:val="20"/>
          <w:szCs w:val="20"/>
        </w:rPr>
        <w:t>negocios fiduciarios</w:t>
      </w:r>
      <w:r w:rsidRPr="00075DE0">
        <w:rPr>
          <w:rFonts w:ascii="Verdana" w:hAnsi="Verdana" w:cs="Arial"/>
          <w:sz w:val="20"/>
          <w:szCs w:val="20"/>
        </w:rPr>
        <w:t xml:space="preserve"> que administren cartera originada por establecimientos de crédito</w:t>
      </w:r>
      <w:r>
        <w:rPr>
          <w:rFonts w:ascii="Verdana" w:hAnsi="Verdana" w:cs="Arial"/>
          <w:sz w:val="20"/>
          <w:szCs w:val="20"/>
        </w:rPr>
        <w:t xml:space="preserve"> </w:t>
      </w:r>
      <w:r w:rsidR="00097E9E">
        <w:rPr>
          <w:rFonts w:ascii="Verdana" w:hAnsi="Verdana" w:cs="Arial"/>
          <w:sz w:val="20"/>
          <w:szCs w:val="20"/>
        </w:rPr>
        <w:t>(</w:t>
      </w:r>
      <w:r w:rsidR="00A60551">
        <w:rPr>
          <w:rFonts w:ascii="Verdana" w:hAnsi="Verdana" w:cs="Arial"/>
          <w:sz w:val="20"/>
          <w:szCs w:val="20"/>
        </w:rPr>
        <w:t xml:space="preserve">numeral </w:t>
      </w:r>
      <w:r w:rsidR="00097E9E">
        <w:rPr>
          <w:rFonts w:ascii="Verdana" w:hAnsi="Verdana" w:cs="Arial"/>
          <w:sz w:val="20"/>
          <w:szCs w:val="20"/>
        </w:rPr>
        <w:t>14 (i))</w:t>
      </w:r>
      <w:r w:rsidR="00B67721">
        <w:rPr>
          <w:rFonts w:ascii="Verdana" w:hAnsi="Verdana" w:cs="Arial"/>
          <w:sz w:val="20"/>
          <w:szCs w:val="20"/>
        </w:rPr>
        <w:t xml:space="preserve"> </w:t>
      </w:r>
      <w:r>
        <w:rPr>
          <w:rFonts w:ascii="Verdana" w:hAnsi="Verdana" w:cs="Arial"/>
          <w:sz w:val="20"/>
          <w:szCs w:val="20"/>
        </w:rPr>
        <w:t>debe contemplar todas las variable</w:t>
      </w:r>
      <w:r w:rsidR="00911A01">
        <w:rPr>
          <w:rFonts w:ascii="Verdana" w:hAnsi="Verdana" w:cs="Arial"/>
          <w:sz w:val="20"/>
          <w:szCs w:val="20"/>
        </w:rPr>
        <w:t>s</w:t>
      </w:r>
      <w:r>
        <w:rPr>
          <w:rFonts w:ascii="Verdana" w:hAnsi="Verdana" w:cs="Arial"/>
          <w:sz w:val="20"/>
          <w:szCs w:val="20"/>
        </w:rPr>
        <w:t xml:space="preserve"> y atributos </w:t>
      </w:r>
      <w:r w:rsidR="00267347">
        <w:rPr>
          <w:rFonts w:ascii="Verdana" w:hAnsi="Verdana" w:cs="Arial"/>
          <w:sz w:val="20"/>
          <w:szCs w:val="20"/>
        </w:rPr>
        <w:t xml:space="preserve">aplicables </w:t>
      </w:r>
      <w:r>
        <w:rPr>
          <w:rFonts w:ascii="Verdana" w:hAnsi="Verdana" w:cs="Arial"/>
          <w:sz w:val="20"/>
          <w:szCs w:val="20"/>
        </w:rPr>
        <w:t>de los insumos que conforman el MURIC</w:t>
      </w:r>
      <w:r w:rsidR="00CF7B78">
        <w:rPr>
          <w:rFonts w:ascii="Verdana" w:hAnsi="Verdana" w:cs="Arial"/>
          <w:sz w:val="20"/>
          <w:szCs w:val="20"/>
        </w:rPr>
        <w:t>.</w:t>
      </w:r>
      <w:r w:rsidR="00196E03">
        <w:rPr>
          <w:rFonts w:ascii="Verdana" w:hAnsi="Verdana" w:cs="Arial"/>
          <w:sz w:val="20"/>
          <w:szCs w:val="20"/>
        </w:rPr>
        <w:t xml:space="preserve"> En el caso de </w:t>
      </w:r>
      <w:r w:rsidR="00EC5693" w:rsidRPr="002637E4">
        <w:rPr>
          <w:rFonts w:ascii="Verdana" w:hAnsi="Verdana"/>
          <w:bCs/>
          <w:sz w:val="20"/>
          <w:szCs w:val="20"/>
        </w:rPr>
        <w:t xml:space="preserve">negocios constituidos como resultado de los procesos de titularización de cartera originada </w:t>
      </w:r>
      <w:r w:rsidR="005D312D">
        <w:rPr>
          <w:rFonts w:ascii="Verdana" w:hAnsi="Verdana"/>
          <w:bCs/>
          <w:sz w:val="20"/>
          <w:szCs w:val="20"/>
        </w:rPr>
        <w:t>por establecimientos de crédito</w:t>
      </w:r>
      <w:r w:rsidR="00B67721">
        <w:rPr>
          <w:rFonts w:ascii="Verdana" w:hAnsi="Verdana"/>
          <w:bCs/>
          <w:sz w:val="20"/>
          <w:szCs w:val="20"/>
        </w:rPr>
        <w:t xml:space="preserve"> (</w:t>
      </w:r>
      <w:r w:rsidR="00A60551">
        <w:rPr>
          <w:rFonts w:ascii="Verdana" w:hAnsi="Verdana"/>
          <w:bCs/>
          <w:sz w:val="20"/>
          <w:szCs w:val="20"/>
        </w:rPr>
        <w:t xml:space="preserve">numeral </w:t>
      </w:r>
      <w:r w:rsidR="00B67721">
        <w:rPr>
          <w:rFonts w:ascii="Verdana" w:hAnsi="Verdana"/>
          <w:bCs/>
          <w:sz w:val="20"/>
          <w:szCs w:val="20"/>
        </w:rPr>
        <w:t>14 (ii)</w:t>
      </w:r>
      <w:r w:rsidR="00A60551">
        <w:rPr>
          <w:rFonts w:ascii="Verdana" w:hAnsi="Verdana"/>
          <w:bCs/>
          <w:sz w:val="20"/>
          <w:szCs w:val="20"/>
        </w:rPr>
        <w:t>)</w:t>
      </w:r>
      <w:r w:rsidR="00787D2C">
        <w:rPr>
          <w:rFonts w:ascii="Verdana" w:hAnsi="Verdana"/>
          <w:bCs/>
          <w:sz w:val="20"/>
          <w:szCs w:val="20"/>
        </w:rPr>
        <w:t>,</w:t>
      </w:r>
      <w:r w:rsidR="005D312D">
        <w:rPr>
          <w:rFonts w:ascii="Verdana" w:hAnsi="Verdana"/>
          <w:bCs/>
          <w:sz w:val="20"/>
          <w:szCs w:val="20"/>
        </w:rPr>
        <w:t xml:space="preserve"> </w:t>
      </w:r>
      <w:r w:rsidR="002C53AA">
        <w:rPr>
          <w:rFonts w:ascii="Verdana" w:hAnsi="Verdana"/>
          <w:bCs/>
          <w:sz w:val="20"/>
          <w:szCs w:val="20"/>
        </w:rPr>
        <w:t xml:space="preserve">sólo </w:t>
      </w:r>
      <w:r w:rsidR="00787D2C">
        <w:rPr>
          <w:rFonts w:ascii="Verdana" w:hAnsi="Verdana"/>
          <w:bCs/>
          <w:sz w:val="20"/>
          <w:szCs w:val="20"/>
        </w:rPr>
        <w:t xml:space="preserve">se </w:t>
      </w:r>
      <w:r w:rsidR="002C53AA">
        <w:rPr>
          <w:rFonts w:ascii="Verdana" w:hAnsi="Verdana"/>
          <w:bCs/>
          <w:sz w:val="20"/>
          <w:szCs w:val="20"/>
        </w:rPr>
        <w:t xml:space="preserve">debe incluir las variables y atributos que se establezcan como obligatorios para </w:t>
      </w:r>
      <w:r w:rsidR="00315FEE">
        <w:rPr>
          <w:rFonts w:ascii="Verdana" w:hAnsi="Verdana"/>
          <w:bCs/>
          <w:sz w:val="20"/>
          <w:szCs w:val="20"/>
        </w:rPr>
        <w:t>este tipo de negocio</w:t>
      </w:r>
      <w:r w:rsidR="002C53AA">
        <w:rPr>
          <w:rFonts w:ascii="Verdana" w:hAnsi="Verdana"/>
          <w:bCs/>
          <w:sz w:val="20"/>
          <w:szCs w:val="20"/>
        </w:rPr>
        <w:t xml:space="preserve"> en la sección de </w:t>
      </w:r>
      <w:r w:rsidR="002C53AA" w:rsidRPr="00DC33A1">
        <w:rPr>
          <w:rFonts w:ascii="Verdana" w:hAnsi="Verdana"/>
          <w:sz w:val="20"/>
          <w:szCs w:val="20"/>
        </w:rPr>
        <w:t>«</w:t>
      </w:r>
      <w:r w:rsidR="002C53AA">
        <w:rPr>
          <w:rFonts w:ascii="Verdana" w:hAnsi="Verdana"/>
          <w:bCs/>
          <w:sz w:val="20"/>
          <w:szCs w:val="20"/>
        </w:rPr>
        <w:t>Datos de los insumos de captura</w:t>
      </w:r>
      <w:r w:rsidR="002C53AA" w:rsidRPr="00DC33A1">
        <w:rPr>
          <w:rFonts w:ascii="Verdana" w:hAnsi="Verdana"/>
          <w:sz w:val="20"/>
          <w:szCs w:val="20"/>
        </w:rPr>
        <w:t>»</w:t>
      </w:r>
      <w:r w:rsidR="002C53AA">
        <w:rPr>
          <w:rFonts w:ascii="Verdana" w:hAnsi="Verdana"/>
          <w:sz w:val="20"/>
          <w:szCs w:val="20"/>
        </w:rPr>
        <w:t xml:space="preserve"> del presente documento. </w:t>
      </w:r>
      <w:r w:rsidR="002C53AA" w:rsidRPr="00FA1A48">
        <w:rPr>
          <w:rFonts w:ascii="Verdana" w:hAnsi="Verdana"/>
          <w:sz w:val="20"/>
          <w:szCs w:val="20"/>
        </w:rPr>
        <w:t xml:space="preserve">Las demás variables y atributos serán de reporte voluntario.  </w:t>
      </w:r>
    </w:p>
    <w:p w14:paraId="36FCAFEC" w14:textId="77777777" w:rsidR="00743A2E" w:rsidRPr="00743A2E" w:rsidRDefault="00743A2E" w:rsidP="00743A2E">
      <w:pPr>
        <w:pStyle w:val="Prrafodelista"/>
        <w:ind w:left="567"/>
        <w:jc w:val="both"/>
        <w:outlineLvl w:val="0"/>
        <w:rPr>
          <w:rFonts w:ascii="Verdana" w:hAnsi="Verdana"/>
          <w:sz w:val="20"/>
          <w:szCs w:val="20"/>
        </w:rPr>
      </w:pPr>
    </w:p>
    <w:p w14:paraId="648051C8" w14:textId="082651D2" w:rsidR="008A3116" w:rsidRPr="00075DE0" w:rsidRDefault="008A3116" w:rsidP="008A3116">
      <w:pPr>
        <w:pStyle w:val="Prrafodelista"/>
        <w:numPr>
          <w:ilvl w:val="0"/>
          <w:numId w:val="10"/>
        </w:numPr>
        <w:ind w:left="567" w:hanging="567"/>
        <w:jc w:val="both"/>
        <w:outlineLvl w:val="0"/>
        <w:rPr>
          <w:rFonts w:ascii="Verdana" w:hAnsi="Verdana"/>
          <w:bCs/>
          <w:sz w:val="20"/>
          <w:szCs w:val="20"/>
        </w:rPr>
      </w:pPr>
      <w:r w:rsidRPr="00075DE0">
        <w:rPr>
          <w:rFonts w:ascii="Verdana" w:hAnsi="Verdana"/>
          <w:bCs/>
          <w:sz w:val="20"/>
          <w:szCs w:val="20"/>
        </w:rPr>
        <w:lastRenderedPageBreak/>
        <w:t xml:space="preserve">Reporte de las sociedades </w:t>
      </w:r>
      <w:r>
        <w:rPr>
          <w:rFonts w:ascii="Verdana" w:hAnsi="Verdana"/>
          <w:bCs/>
          <w:sz w:val="20"/>
          <w:szCs w:val="20"/>
        </w:rPr>
        <w:t xml:space="preserve">titularizadoras </w:t>
      </w:r>
      <w:r w:rsidRPr="00075DE0">
        <w:rPr>
          <w:rFonts w:ascii="Verdana" w:hAnsi="Verdana" w:cs="Arial"/>
          <w:sz w:val="20"/>
          <w:szCs w:val="20"/>
        </w:rPr>
        <w:t xml:space="preserve">por cuenta de </w:t>
      </w:r>
      <w:r w:rsidR="00BE6229">
        <w:rPr>
          <w:rFonts w:ascii="Verdana" w:hAnsi="Verdana" w:cs="Arial"/>
          <w:sz w:val="20"/>
          <w:szCs w:val="20"/>
        </w:rPr>
        <w:t>universalidades</w:t>
      </w:r>
      <w:r w:rsidRPr="00075DE0">
        <w:rPr>
          <w:rFonts w:ascii="Verdana" w:hAnsi="Verdana" w:cs="Arial"/>
          <w:sz w:val="20"/>
          <w:szCs w:val="20"/>
        </w:rPr>
        <w:t xml:space="preserve"> </w:t>
      </w:r>
      <w:r w:rsidR="00BE6229">
        <w:rPr>
          <w:rFonts w:ascii="Verdana" w:hAnsi="Verdana" w:cs="Arial"/>
          <w:sz w:val="20"/>
          <w:szCs w:val="20"/>
        </w:rPr>
        <w:t>conformada</w:t>
      </w:r>
      <w:r w:rsidR="00CF7B78">
        <w:rPr>
          <w:rFonts w:ascii="Verdana" w:hAnsi="Verdana" w:cs="Arial"/>
          <w:sz w:val="20"/>
          <w:szCs w:val="20"/>
        </w:rPr>
        <w:t>s</w:t>
      </w:r>
      <w:r w:rsidR="00BE6229">
        <w:rPr>
          <w:rFonts w:ascii="Verdana" w:hAnsi="Verdana" w:cs="Arial"/>
          <w:sz w:val="20"/>
          <w:szCs w:val="20"/>
        </w:rPr>
        <w:t xml:space="preserve"> por cartera de crédito</w:t>
      </w:r>
      <w:r w:rsidRPr="00075DE0">
        <w:rPr>
          <w:rFonts w:ascii="Verdana" w:hAnsi="Verdana" w:cs="Arial"/>
          <w:sz w:val="20"/>
          <w:szCs w:val="20"/>
        </w:rPr>
        <w:t xml:space="preserve"> originada por establecimientos de crédito</w:t>
      </w:r>
      <w:r>
        <w:rPr>
          <w:rFonts w:ascii="Verdana" w:hAnsi="Verdana" w:cs="Arial"/>
          <w:sz w:val="20"/>
          <w:szCs w:val="20"/>
        </w:rPr>
        <w:t>:</w:t>
      </w:r>
    </w:p>
    <w:p w14:paraId="29CE3FDF" w14:textId="77777777" w:rsidR="008A3116" w:rsidRPr="00075DE0" w:rsidRDefault="008A3116" w:rsidP="008A3116">
      <w:pPr>
        <w:pStyle w:val="Prrafodelista"/>
        <w:ind w:left="502"/>
        <w:jc w:val="both"/>
        <w:outlineLvl w:val="0"/>
        <w:rPr>
          <w:rFonts w:ascii="Verdana" w:hAnsi="Verdana"/>
          <w:bCs/>
          <w:sz w:val="20"/>
          <w:szCs w:val="20"/>
        </w:rPr>
      </w:pPr>
    </w:p>
    <w:p w14:paraId="557C86F9" w14:textId="5FA1CBCB" w:rsidR="008A3116" w:rsidRDefault="008A3116" w:rsidP="4923CE6A">
      <w:pPr>
        <w:pStyle w:val="Prrafodelista"/>
        <w:ind w:left="567"/>
        <w:jc w:val="both"/>
        <w:outlineLvl w:val="0"/>
        <w:rPr>
          <w:rFonts w:ascii="Verdana" w:hAnsi="Verdana"/>
          <w:sz w:val="20"/>
          <w:szCs w:val="20"/>
        </w:rPr>
      </w:pPr>
      <w:r w:rsidRPr="4923CE6A">
        <w:rPr>
          <w:rFonts w:ascii="Verdana" w:hAnsi="Verdana"/>
          <w:sz w:val="20"/>
          <w:szCs w:val="20"/>
        </w:rPr>
        <w:t xml:space="preserve">Las </w:t>
      </w:r>
      <w:r w:rsidR="00512DE6" w:rsidRPr="4923CE6A">
        <w:rPr>
          <w:rFonts w:ascii="Verdana" w:hAnsi="Verdana"/>
          <w:sz w:val="20"/>
          <w:szCs w:val="20"/>
        </w:rPr>
        <w:t>so</w:t>
      </w:r>
      <w:r w:rsidR="00DC3900" w:rsidRPr="4923CE6A">
        <w:rPr>
          <w:rFonts w:ascii="Verdana" w:hAnsi="Verdana"/>
          <w:sz w:val="20"/>
          <w:szCs w:val="20"/>
        </w:rPr>
        <w:t>ciedades titularizadoras administradoras de universalidades conformadas por cartera de crédito originada por establecimientos de crédito</w:t>
      </w:r>
      <w:r w:rsidRPr="4923CE6A">
        <w:rPr>
          <w:rFonts w:ascii="Verdana" w:hAnsi="Verdana"/>
          <w:sz w:val="20"/>
          <w:szCs w:val="20"/>
        </w:rPr>
        <w:t xml:space="preserve"> deben reportar la cartera de l</w:t>
      </w:r>
      <w:r w:rsidR="000044B1" w:rsidRPr="4923CE6A">
        <w:rPr>
          <w:rFonts w:ascii="Verdana" w:hAnsi="Verdana"/>
          <w:sz w:val="20"/>
          <w:szCs w:val="20"/>
        </w:rPr>
        <w:t>a</w:t>
      </w:r>
      <w:r w:rsidRPr="4923CE6A">
        <w:rPr>
          <w:rFonts w:ascii="Verdana" w:hAnsi="Verdana"/>
          <w:sz w:val="20"/>
          <w:szCs w:val="20"/>
        </w:rPr>
        <w:t>s respectiv</w:t>
      </w:r>
      <w:r w:rsidR="00DC3900" w:rsidRPr="4923CE6A">
        <w:rPr>
          <w:rFonts w:ascii="Verdana" w:hAnsi="Verdana"/>
          <w:sz w:val="20"/>
          <w:szCs w:val="20"/>
        </w:rPr>
        <w:t>a</w:t>
      </w:r>
      <w:r w:rsidRPr="4923CE6A">
        <w:rPr>
          <w:rFonts w:ascii="Verdana" w:hAnsi="Verdana"/>
          <w:sz w:val="20"/>
          <w:szCs w:val="20"/>
        </w:rPr>
        <w:t xml:space="preserve">s </w:t>
      </w:r>
      <w:r w:rsidR="00DC3900" w:rsidRPr="4923CE6A">
        <w:rPr>
          <w:rFonts w:ascii="Verdana" w:hAnsi="Verdana"/>
          <w:sz w:val="20"/>
          <w:szCs w:val="20"/>
        </w:rPr>
        <w:t>universalidad</w:t>
      </w:r>
      <w:r w:rsidRPr="4923CE6A">
        <w:rPr>
          <w:rFonts w:ascii="Verdana" w:hAnsi="Verdana"/>
          <w:sz w:val="20"/>
          <w:szCs w:val="20"/>
        </w:rPr>
        <w:t>es</w:t>
      </w:r>
      <w:r w:rsidR="00C03F32" w:rsidRPr="4923CE6A">
        <w:rPr>
          <w:rFonts w:ascii="Verdana" w:hAnsi="Verdana"/>
          <w:sz w:val="20"/>
          <w:szCs w:val="20"/>
        </w:rPr>
        <w:t>, cuando</w:t>
      </w:r>
      <w:r w:rsidR="00B868FC">
        <w:rPr>
          <w:rFonts w:ascii="Verdana" w:hAnsi="Verdana"/>
          <w:sz w:val="20"/>
          <w:szCs w:val="20"/>
        </w:rPr>
        <w:t xml:space="preserve"> el valor objeto de reporte por cada universalidad</w:t>
      </w:r>
      <w:r w:rsidR="00BA1A8C" w:rsidRPr="4923CE6A">
        <w:rPr>
          <w:rFonts w:ascii="Verdana" w:hAnsi="Verdana"/>
          <w:sz w:val="20"/>
          <w:szCs w:val="20"/>
        </w:rPr>
        <w:t xml:space="preserve"> supere el 10% de</w:t>
      </w:r>
      <w:r w:rsidR="00790BE9" w:rsidRPr="4923CE6A">
        <w:rPr>
          <w:rFonts w:ascii="Verdana" w:hAnsi="Verdana"/>
          <w:sz w:val="20"/>
          <w:szCs w:val="20"/>
        </w:rPr>
        <w:t>l</w:t>
      </w:r>
      <w:r w:rsidR="00BA1A8C" w:rsidRPr="4923CE6A">
        <w:rPr>
          <w:rFonts w:ascii="Verdana" w:hAnsi="Verdana"/>
          <w:sz w:val="20"/>
          <w:szCs w:val="20"/>
        </w:rPr>
        <w:t xml:space="preserve">  patrimonio técnico </w:t>
      </w:r>
      <w:r w:rsidR="00790BE9" w:rsidRPr="4923CE6A">
        <w:rPr>
          <w:rFonts w:ascii="Verdana" w:hAnsi="Verdana"/>
          <w:sz w:val="20"/>
          <w:szCs w:val="20"/>
        </w:rPr>
        <w:t xml:space="preserve">de la sociedad titularizadora al </w:t>
      </w:r>
      <w:r w:rsidR="00BA1A8C" w:rsidRPr="4923CE6A">
        <w:rPr>
          <w:rFonts w:ascii="Verdana" w:hAnsi="Verdana"/>
          <w:sz w:val="20"/>
          <w:szCs w:val="20"/>
        </w:rPr>
        <w:t>corte del mes inmediatamente anterior.</w:t>
      </w:r>
    </w:p>
    <w:p w14:paraId="7D9B28B7" w14:textId="77777777" w:rsidR="00131AC8" w:rsidRDefault="00131AC8" w:rsidP="000D2590">
      <w:pPr>
        <w:pStyle w:val="Prrafodelista"/>
        <w:ind w:left="567"/>
        <w:jc w:val="both"/>
        <w:outlineLvl w:val="0"/>
        <w:rPr>
          <w:rFonts w:ascii="Verdana" w:hAnsi="Verdana"/>
          <w:bCs/>
          <w:sz w:val="20"/>
          <w:szCs w:val="20"/>
        </w:rPr>
      </w:pPr>
    </w:p>
    <w:p w14:paraId="1A486FE2" w14:textId="00D21245" w:rsidR="00131AC8" w:rsidRPr="00A83864" w:rsidRDefault="00131AC8" w:rsidP="00F36248">
      <w:pPr>
        <w:pStyle w:val="Prrafodelista"/>
        <w:ind w:left="567"/>
        <w:jc w:val="both"/>
        <w:outlineLvl w:val="0"/>
        <w:rPr>
          <w:rFonts w:ascii="Verdana" w:hAnsi="Verdana"/>
          <w:bCs/>
          <w:sz w:val="20"/>
          <w:szCs w:val="20"/>
        </w:rPr>
      </w:pPr>
      <w:r>
        <w:rPr>
          <w:rFonts w:ascii="Verdana" w:hAnsi="Verdana"/>
          <w:bCs/>
          <w:sz w:val="20"/>
          <w:szCs w:val="20"/>
        </w:rPr>
        <w:t xml:space="preserve">Este reporte de las sociedades titularizadoras </w:t>
      </w:r>
      <w:r w:rsidR="00E756C2">
        <w:rPr>
          <w:rFonts w:ascii="Verdana" w:hAnsi="Verdana"/>
          <w:bCs/>
          <w:sz w:val="20"/>
          <w:szCs w:val="20"/>
        </w:rPr>
        <w:t xml:space="preserve">sólo </w:t>
      </w:r>
      <w:r w:rsidR="00041BB8">
        <w:rPr>
          <w:rFonts w:ascii="Verdana" w:hAnsi="Verdana"/>
          <w:bCs/>
          <w:sz w:val="20"/>
          <w:szCs w:val="20"/>
        </w:rPr>
        <w:t>debe incluir las variables</w:t>
      </w:r>
      <w:r w:rsidR="00E756C2">
        <w:rPr>
          <w:rFonts w:ascii="Verdana" w:hAnsi="Verdana"/>
          <w:bCs/>
          <w:sz w:val="20"/>
          <w:szCs w:val="20"/>
        </w:rPr>
        <w:t xml:space="preserve"> y atributos </w:t>
      </w:r>
      <w:r w:rsidR="003F2CF8">
        <w:rPr>
          <w:rFonts w:ascii="Verdana" w:hAnsi="Verdana"/>
          <w:bCs/>
          <w:sz w:val="20"/>
          <w:szCs w:val="20"/>
        </w:rPr>
        <w:t xml:space="preserve">que se establezcan como obligatorios para estas entidades en la sección de </w:t>
      </w:r>
      <w:r w:rsidR="003F2CF8" w:rsidRPr="00DC33A1">
        <w:rPr>
          <w:rFonts w:ascii="Verdana" w:hAnsi="Verdana"/>
          <w:sz w:val="20"/>
          <w:szCs w:val="20"/>
        </w:rPr>
        <w:t>«</w:t>
      </w:r>
      <w:r w:rsidR="003F2CF8">
        <w:rPr>
          <w:rFonts w:ascii="Verdana" w:hAnsi="Verdana"/>
          <w:bCs/>
          <w:sz w:val="20"/>
          <w:szCs w:val="20"/>
        </w:rPr>
        <w:t>Datos de los insumos de captura</w:t>
      </w:r>
      <w:r w:rsidR="003F2CF8" w:rsidRPr="00DC33A1">
        <w:rPr>
          <w:rFonts w:ascii="Verdana" w:hAnsi="Verdana"/>
          <w:sz w:val="20"/>
          <w:szCs w:val="20"/>
        </w:rPr>
        <w:t>»</w:t>
      </w:r>
      <w:r w:rsidR="00F36248">
        <w:rPr>
          <w:rFonts w:ascii="Verdana" w:hAnsi="Verdana"/>
          <w:sz w:val="20"/>
          <w:szCs w:val="20"/>
        </w:rPr>
        <w:t xml:space="preserve"> del presente documento</w:t>
      </w:r>
      <w:r w:rsidR="003F2CF8">
        <w:rPr>
          <w:rFonts w:ascii="Verdana" w:hAnsi="Verdana"/>
          <w:sz w:val="20"/>
          <w:szCs w:val="20"/>
        </w:rPr>
        <w:t>.</w:t>
      </w:r>
      <w:r w:rsidR="00FA1A48">
        <w:rPr>
          <w:rFonts w:ascii="Verdana" w:hAnsi="Verdana"/>
          <w:sz w:val="20"/>
          <w:szCs w:val="20"/>
        </w:rPr>
        <w:t xml:space="preserve"> </w:t>
      </w:r>
      <w:r w:rsidR="00FA1A48" w:rsidRPr="00FA1A48">
        <w:rPr>
          <w:rFonts w:ascii="Verdana" w:hAnsi="Verdana"/>
          <w:sz w:val="20"/>
          <w:szCs w:val="20"/>
        </w:rPr>
        <w:t xml:space="preserve">Las demás variables y atributos serán de reporte voluntario.  </w:t>
      </w:r>
    </w:p>
    <w:p w14:paraId="69968101" w14:textId="77777777" w:rsidR="000D2590" w:rsidRPr="000D2590" w:rsidRDefault="000D2590" w:rsidP="000D2590">
      <w:pPr>
        <w:pStyle w:val="Prrafodelista"/>
        <w:ind w:left="567"/>
        <w:jc w:val="both"/>
        <w:outlineLvl w:val="0"/>
        <w:rPr>
          <w:rFonts w:ascii="Verdana" w:hAnsi="Verdana"/>
          <w:bCs/>
          <w:sz w:val="20"/>
          <w:szCs w:val="20"/>
        </w:rPr>
      </w:pPr>
    </w:p>
    <w:p w14:paraId="6CFFB5E3" w14:textId="7A67D50B" w:rsidR="00F352C3" w:rsidRPr="00DA4295" w:rsidRDefault="00F352C3" w:rsidP="00BD68AE">
      <w:pPr>
        <w:pStyle w:val="Prrafodelista"/>
        <w:numPr>
          <w:ilvl w:val="0"/>
          <w:numId w:val="10"/>
        </w:numPr>
        <w:ind w:left="567" w:hanging="567"/>
        <w:jc w:val="both"/>
        <w:outlineLvl w:val="0"/>
        <w:rPr>
          <w:rFonts w:ascii="Verdana" w:hAnsi="Verdana"/>
          <w:sz w:val="20"/>
          <w:szCs w:val="20"/>
        </w:rPr>
      </w:pPr>
      <w:r w:rsidRPr="00CC323C">
        <w:rPr>
          <w:rFonts w:ascii="Verdana" w:hAnsi="Verdana"/>
          <w:bCs/>
          <w:sz w:val="20"/>
          <w:szCs w:val="20"/>
        </w:rPr>
        <w:t xml:space="preserve">Reporte de las entidades aseguradoras </w:t>
      </w:r>
      <w:r w:rsidR="00CC323C" w:rsidRPr="00CC323C">
        <w:rPr>
          <w:rFonts w:ascii="Verdana" w:hAnsi="Verdana" w:cs="Arial"/>
          <w:sz w:val="20"/>
          <w:szCs w:val="20"/>
        </w:rPr>
        <w:t>que tengan cartera de crédito en desarrollo de sus operaciones autorizadas</w:t>
      </w:r>
      <w:r w:rsidR="00BD68AE">
        <w:rPr>
          <w:rFonts w:ascii="Verdana" w:hAnsi="Verdana" w:cs="Arial"/>
          <w:sz w:val="20"/>
          <w:szCs w:val="20"/>
        </w:rPr>
        <w:t>:</w:t>
      </w:r>
    </w:p>
    <w:p w14:paraId="06DC394D" w14:textId="77777777" w:rsidR="00DA4295" w:rsidRPr="00D53B0A" w:rsidRDefault="00DA4295" w:rsidP="003C1C55">
      <w:pPr>
        <w:pStyle w:val="Prrafodelista"/>
        <w:ind w:left="567"/>
        <w:jc w:val="both"/>
        <w:outlineLvl w:val="0"/>
        <w:rPr>
          <w:rFonts w:ascii="Verdana" w:hAnsi="Verdana"/>
          <w:sz w:val="20"/>
          <w:szCs w:val="20"/>
        </w:rPr>
      </w:pPr>
    </w:p>
    <w:p w14:paraId="14DA6AA2" w14:textId="3BB854DC" w:rsidR="001B286E" w:rsidRDefault="00D53B0A" w:rsidP="00DA4295">
      <w:pPr>
        <w:pStyle w:val="Prrafodelista"/>
        <w:ind w:left="567"/>
        <w:jc w:val="both"/>
        <w:outlineLvl w:val="0"/>
        <w:rPr>
          <w:rFonts w:ascii="Verdana" w:hAnsi="Verdana"/>
          <w:bCs/>
          <w:sz w:val="20"/>
          <w:szCs w:val="20"/>
        </w:rPr>
      </w:pPr>
      <w:bookmarkStart w:id="0" w:name="_Hlk189678871"/>
      <w:r>
        <w:rPr>
          <w:rFonts w:ascii="Verdana" w:hAnsi="Verdana"/>
          <w:sz w:val="20"/>
          <w:szCs w:val="20"/>
        </w:rPr>
        <w:t xml:space="preserve">Las entidades aseguradoras que </w:t>
      </w:r>
      <w:r w:rsidR="00D70FDC">
        <w:rPr>
          <w:rFonts w:ascii="Verdana" w:hAnsi="Verdana"/>
          <w:sz w:val="20"/>
          <w:szCs w:val="20"/>
        </w:rPr>
        <w:t>realicen operaciones de crédito con recursos propios</w:t>
      </w:r>
      <w:r w:rsidR="00B24474">
        <w:rPr>
          <w:rFonts w:ascii="Verdana" w:hAnsi="Verdana"/>
          <w:sz w:val="20"/>
          <w:szCs w:val="20"/>
        </w:rPr>
        <w:t xml:space="preserve">, incluyendo la actividad de financiación de primas, </w:t>
      </w:r>
      <w:r w:rsidR="00126D96">
        <w:rPr>
          <w:rFonts w:ascii="Verdana" w:hAnsi="Verdana"/>
          <w:sz w:val="20"/>
          <w:szCs w:val="20"/>
        </w:rPr>
        <w:t>entre otros,</w:t>
      </w:r>
      <w:r w:rsidR="00D70FDC">
        <w:rPr>
          <w:rFonts w:ascii="Verdana" w:hAnsi="Verdana"/>
          <w:sz w:val="20"/>
          <w:szCs w:val="20"/>
        </w:rPr>
        <w:t xml:space="preserve"> </w:t>
      </w:r>
      <w:r w:rsidR="00AD5D3B" w:rsidRPr="00926F03">
        <w:rPr>
          <w:rFonts w:ascii="Verdana" w:hAnsi="Verdana"/>
          <w:bCs/>
          <w:sz w:val="20"/>
          <w:szCs w:val="20"/>
        </w:rPr>
        <w:t xml:space="preserve">deben reportar </w:t>
      </w:r>
      <w:r w:rsidR="00911A01">
        <w:rPr>
          <w:rFonts w:ascii="Verdana" w:hAnsi="Verdana"/>
          <w:bCs/>
          <w:sz w:val="20"/>
          <w:szCs w:val="20"/>
        </w:rPr>
        <w:t>su</w:t>
      </w:r>
      <w:r w:rsidR="0021537D">
        <w:rPr>
          <w:rFonts w:ascii="Verdana" w:hAnsi="Verdana"/>
          <w:bCs/>
          <w:sz w:val="20"/>
          <w:szCs w:val="20"/>
        </w:rPr>
        <w:t>s operaciones</w:t>
      </w:r>
      <w:r w:rsidR="00AD5D3B" w:rsidRPr="00926F03">
        <w:rPr>
          <w:rFonts w:ascii="Verdana" w:hAnsi="Verdana"/>
          <w:bCs/>
          <w:sz w:val="20"/>
          <w:szCs w:val="20"/>
        </w:rPr>
        <w:t xml:space="preserve"> </w:t>
      </w:r>
      <w:r w:rsidR="00911A01">
        <w:rPr>
          <w:rFonts w:ascii="Verdana" w:hAnsi="Verdana"/>
          <w:bCs/>
          <w:sz w:val="20"/>
          <w:szCs w:val="20"/>
        </w:rPr>
        <w:t>en el MURIC</w:t>
      </w:r>
      <w:r w:rsidR="00DA4295">
        <w:rPr>
          <w:rFonts w:ascii="Verdana" w:hAnsi="Verdana"/>
          <w:bCs/>
          <w:sz w:val="20"/>
          <w:szCs w:val="20"/>
        </w:rPr>
        <w:t xml:space="preserve">, cuando </w:t>
      </w:r>
      <w:r w:rsidR="00DA4295" w:rsidRPr="00BA1A8C">
        <w:rPr>
          <w:rFonts w:ascii="Verdana" w:hAnsi="Verdana"/>
          <w:bCs/>
          <w:sz w:val="20"/>
          <w:szCs w:val="20"/>
        </w:rPr>
        <w:t>la entidad realic</w:t>
      </w:r>
      <w:r w:rsidR="00DA4295">
        <w:rPr>
          <w:rFonts w:ascii="Verdana" w:hAnsi="Verdana"/>
          <w:bCs/>
          <w:sz w:val="20"/>
          <w:szCs w:val="20"/>
        </w:rPr>
        <w:t>e</w:t>
      </w:r>
      <w:r w:rsidR="00DA4295" w:rsidRPr="00BA1A8C">
        <w:rPr>
          <w:rFonts w:ascii="Verdana" w:hAnsi="Verdana"/>
          <w:bCs/>
          <w:sz w:val="20"/>
          <w:szCs w:val="20"/>
        </w:rPr>
        <w:t xml:space="preserve"> operaciones </w:t>
      </w:r>
      <w:r w:rsidR="00DA4295">
        <w:rPr>
          <w:rFonts w:ascii="Verdana" w:hAnsi="Verdana"/>
          <w:bCs/>
          <w:sz w:val="20"/>
          <w:szCs w:val="20"/>
        </w:rPr>
        <w:t>objeto de reporte</w:t>
      </w:r>
      <w:r w:rsidR="00DA4295" w:rsidRPr="00BA1A8C">
        <w:rPr>
          <w:rFonts w:ascii="Verdana" w:hAnsi="Verdana"/>
          <w:bCs/>
          <w:sz w:val="20"/>
          <w:szCs w:val="20"/>
        </w:rPr>
        <w:t xml:space="preserve"> que en total superen el 10% de su patrimonio técnico al corte del mes inmediatamente anterior.</w:t>
      </w:r>
    </w:p>
    <w:p w14:paraId="66804565" w14:textId="77777777" w:rsidR="002C207E" w:rsidRDefault="002C207E" w:rsidP="003C1C55">
      <w:pPr>
        <w:pStyle w:val="Prrafodelista"/>
        <w:ind w:left="567"/>
        <w:jc w:val="both"/>
        <w:outlineLvl w:val="0"/>
        <w:rPr>
          <w:rFonts w:ascii="Verdana" w:hAnsi="Verdana"/>
          <w:bCs/>
          <w:sz w:val="20"/>
          <w:szCs w:val="20"/>
        </w:rPr>
      </w:pPr>
    </w:p>
    <w:p w14:paraId="575613F8" w14:textId="7B368606" w:rsidR="00915C07" w:rsidRDefault="00915C07">
      <w:pPr>
        <w:pStyle w:val="Prrafodelista"/>
        <w:ind w:left="567"/>
        <w:jc w:val="both"/>
        <w:outlineLvl w:val="0"/>
        <w:rPr>
          <w:rFonts w:ascii="Verdana" w:hAnsi="Verdana"/>
          <w:sz w:val="20"/>
          <w:szCs w:val="20"/>
        </w:rPr>
      </w:pPr>
      <w:r w:rsidRPr="003C1C55">
        <w:rPr>
          <w:rFonts w:ascii="Verdana" w:hAnsi="Verdana"/>
          <w:sz w:val="20"/>
          <w:szCs w:val="20"/>
        </w:rPr>
        <w:t xml:space="preserve">En caso de que la entidad esté </w:t>
      </w:r>
      <w:r w:rsidR="000A361C">
        <w:rPr>
          <w:rFonts w:ascii="Verdana" w:hAnsi="Verdana"/>
          <w:sz w:val="20"/>
          <w:szCs w:val="20"/>
        </w:rPr>
        <w:t>reportando</w:t>
      </w:r>
      <w:r w:rsidRPr="003C1C55">
        <w:rPr>
          <w:rFonts w:ascii="Verdana" w:hAnsi="Verdana"/>
          <w:sz w:val="20"/>
          <w:szCs w:val="20"/>
        </w:rPr>
        <w:t xml:space="preserve"> una operación de financiación de primas, se debe remitir </w:t>
      </w:r>
      <w:r w:rsidR="001B286E">
        <w:rPr>
          <w:rFonts w:ascii="Verdana" w:hAnsi="Verdana"/>
          <w:sz w:val="20"/>
          <w:szCs w:val="20"/>
        </w:rPr>
        <w:t>en la variable</w:t>
      </w:r>
      <w:r>
        <w:rPr>
          <w:rFonts w:ascii="Verdana" w:hAnsi="Verdana"/>
          <w:sz w:val="20"/>
          <w:szCs w:val="20"/>
        </w:rPr>
        <w:t xml:space="preserve"> de </w:t>
      </w:r>
      <w:r w:rsidR="001B286E" w:rsidRPr="00DC33A1">
        <w:rPr>
          <w:rFonts w:ascii="Verdana" w:hAnsi="Verdana"/>
          <w:sz w:val="20"/>
          <w:szCs w:val="20"/>
        </w:rPr>
        <w:t>«</w:t>
      </w:r>
      <w:r w:rsidR="001B286E">
        <w:rPr>
          <w:rFonts w:ascii="Verdana" w:hAnsi="Verdana"/>
          <w:sz w:val="20"/>
          <w:szCs w:val="20"/>
        </w:rPr>
        <w:t>Identificación del crédito</w:t>
      </w:r>
      <w:r w:rsidR="001B286E" w:rsidRPr="00DC33A1">
        <w:rPr>
          <w:rFonts w:ascii="Verdana" w:hAnsi="Verdana"/>
          <w:sz w:val="20"/>
          <w:szCs w:val="20"/>
        </w:rPr>
        <w:t>»</w:t>
      </w:r>
      <w:r>
        <w:rPr>
          <w:rFonts w:ascii="Verdana" w:hAnsi="Verdana"/>
          <w:sz w:val="20"/>
          <w:szCs w:val="20"/>
        </w:rPr>
        <w:t xml:space="preserve"> </w:t>
      </w:r>
      <w:r w:rsidRPr="003C1C55">
        <w:rPr>
          <w:rFonts w:ascii="Verdana" w:hAnsi="Verdana"/>
          <w:sz w:val="20"/>
          <w:szCs w:val="20"/>
        </w:rPr>
        <w:t>el número único de la póliza que se está financiando.</w:t>
      </w:r>
    </w:p>
    <w:p w14:paraId="73DA34F4" w14:textId="77777777" w:rsidR="00967E07" w:rsidRDefault="00967E07">
      <w:pPr>
        <w:pStyle w:val="Prrafodelista"/>
        <w:ind w:left="567"/>
        <w:jc w:val="both"/>
        <w:outlineLvl w:val="0"/>
        <w:rPr>
          <w:rFonts w:ascii="Verdana" w:hAnsi="Verdana"/>
          <w:sz w:val="20"/>
          <w:szCs w:val="20"/>
        </w:rPr>
      </w:pPr>
    </w:p>
    <w:p w14:paraId="32C76B49" w14:textId="58F0AE29" w:rsidR="00967E07" w:rsidRPr="003C1C55" w:rsidRDefault="00967E07" w:rsidP="003C1C55">
      <w:pPr>
        <w:pStyle w:val="Prrafodelista"/>
        <w:ind w:left="567"/>
        <w:jc w:val="both"/>
        <w:outlineLvl w:val="0"/>
        <w:rPr>
          <w:rFonts w:ascii="Verdana" w:hAnsi="Verdana"/>
          <w:sz w:val="20"/>
          <w:szCs w:val="20"/>
        </w:rPr>
      </w:pPr>
      <w:r>
        <w:rPr>
          <w:rFonts w:ascii="Verdana" w:hAnsi="Verdana"/>
          <w:sz w:val="20"/>
          <w:szCs w:val="20"/>
        </w:rPr>
        <w:t xml:space="preserve">Para el caso </w:t>
      </w:r>
      <w:r w:rsidR="00722CB6">
        <w:rPr>
          <w:rFonts w:ascii="Verdana" w:hAnsi="Verdana"/>
          <w:sz w:val="20"/>
          <w:szCs w:val="20"/>
        </w:rPr>
        <w:t xml:space="preserve">de los créditos </w:t>
      </w:r>
      <w:r w:rsidR="00C7088B" w:rsidRPr="00C7088B">
        <w:rPr>
          <w:rFonts w:ascii="Verdana" w:hAnsi="Verdana"/>
          <w:sz w:val="20"/>
          <w:szCs w:val="20"/>
        </w:rPr>
        <w:t>sobre el valor de rescate y mesada pensional</w:t>
      </w:r>
      <w:r w:rsidR="001514EB">
        <w:rPr>
          <w:rFonts w:ascii="Verdana" w:hAnsi="Verdana"/>
          <w:sz w:val="20"/>
          <w:szCs w:val="20"/>
        </w:rPr>
        <w:t>, est</w:t>
      </w:r>
      <w:r w:rsidR="00E42EE4">
        <w:rPr>
          <w:rFonts w:ascii="Verdana" w:hAnsi="Verdana"/>
          <w:sz w:val="20"/>
          <w:szCs w:val="20"/>
        </w:rPr>
        <w:t xml:space="preserve">os </w:t>
      </w:r>
      <w:r w:rsidR="00C7088B" w:rsidRPr="00C7088B">
        <w:rPr>
          <w:rFonts w:ascii="Verdana" w:hAnsi="Verdana"/>
          <w:sz w:val="20"/>
          <w:szCs w:val="20"/>
        </w:rPr>
        <w:t>deben c</w:t>
      </w:r>
      <w:r w:rsidR="006A3FF8">
        <w:rPr>
          <w:rFonts w:ascii="Verdana" w:hAnsi="Verdana"/>
          <w:sz w:val="20"/>
          <w:szCs w:val="20"/>
        </w:rPr>
        <w:t>lasificarse</w:t>
      </w:r>
      <w:r w:rsidR="00C7088B" w:rsidRPr="00C7088B">
        <w:rPr>
          <w:rFonts w:ascii="Verdana" w:hAnsi="Verdana"/>
          <w:sz w:val="20"/>
          <w:szCs w:val="20"/>
        </w:rPr>
        <w:t xml:space="preserve"> </w:t>
      </w:r>
      <w:r w:rsidR="00C7088B">
        <w:rPr>
          <w:rFonts w:ascii="Verdana" w:hAnsi="Verdana"/>
          <w:sz w:val="20"/>
          <w:szCs w:val="20"/>
        </w:rPr>
        <w:t xml:space="preserve">en la modalidad de </w:t>
      </w:r>
      <w:r w:rsidR="00C7088B" w:rsidRPr="00C7088B">
        <w:rPr>
          <w:rFonts w:ascii="Verdana" w:hAnsi="Verdana"/>
          <w:sz w:val="20"/>
          <w:szCs w:val="20"/>
        </w:rPr>
        <w:t>consumo.</w:t>
      </w:r>
    </w:p>
    <w:p w14:paraId="38B4458A" w14:textId="0C3E4F65" w:rsidR="003D6FE2" w:rsidRPr="00A83864" w:rsidRDefault="003D6FE2" w:rsidP="00A83864">
      <w:pPr>
        <w:ind w:left="567"/>
        <w:jc w:val="both"/>
        <w:outlineLvl w:val="0"/>
        <w:rPr>
          <w:rFonts w:ascii="Verdana" w:hAnsi="Verdana"/>
          <w:sz w:val="20"/>
          <w:szCs w:val="20"/>
        </w:rPr>
      </w:pPr>
      <w:r>
        <w:rPr>
          <w:rFonts w:ascii="Verdana" w:hAnsi="Verdana"/>
          <w:bCs/>
          <w:sz w:val="20"/>
          <w:szCs w:val="20"/>
        </w:rPr>
        <w:t>E</w:t>
      </w:r>
      <w:r w:rsidR="006A3FF8">
        <w:rPr>
          <w:rFonts w:ascii="Verdana" w:hAnsi="Verdana"/>
          <w:bCs/>
          <w:sz w:val="20"/>
          <w:szCs w:val="20"/>
        </w:rPr>
        <w:t>l</w:t>
      </w:r>
      <w:r>
        <w:rPr>
          <w:rFonts w:ascii="Verdana" w:hAnsi="Verdana"/>
          <w:bCs/>
          <w:sz w:val="20"/>
          <w:szCs w:val="20"/>
        </w:rPr>
        <w:t xml:space="preserve"> reporte de las entidades aseguradoras </w:t>
      </w:r>
      <w:r w:rsidR="00307402" w:rsidRPr="00307402">
        <w:rPr>
          <w:rFonts w:ascii="Verdana" w:hAnsi="Verdana" w:cs="Arial"/>
          <w:sz w:val="20"/>
          <w:szCs w:val="20"/>
        </w:rPr>
        <w:t xml:space="preserve">sólo debe incluir las variables y atributos que se establezcan como obligatorios para estas entidades en la sección de «Datos de los insumos de captura» del presente documento. Las demás variables y atributos serán de reporte voluntario.  </w:t>
      </w:r>
    </w:p>
    <w:bookmarkEnd w:id="0"/>
    <w:p w14:paraId="687B927B" w14:textId="77777777" w:rsidR="00BD68AE" w:rsidRPr="00743A2E" w:rsidRDefault="00BD68AE" w:rsidP="00BD68AE">
      <w:pPr>
        <w:pStyle w:val="Prrafodelista"/>
        <w:ind w:left="567"/>
        <w:jc w:val="both"/>
        <w:outlineLvl w:val="0"/>
        <w:rPr>
          <w:rFonts w:ascii="Verdana" w:hAnsi="Verdana"/>
          <w:sz w:val="20"/>
          <w:szCs w:val="20"/>
        </w:rPr>
      </w:pPr>
    </w:p>
    <w:p w14:paraId="6091B6AF" w14:textId="457E41D1" w:rsidR="003B46CC" w:rsidRPr="00AE6569" w:rsidRDefault="00BD68AE" w:rsidP="00BD68AE">
      <w:pPr>
        <w:pStyle w:val="Prrafodelista"/>
        <w:numPr>
          <w:ilvl w:val="0"/>
          <w:numId w:val="10"/>
        </w:numPr>
        <w:ind w:left="567" w:hanging="567"/>
        <w:jc w:val="both"/>
        <w:outlineLvl w:val="0"/>
        <w:rPr>
          <w:rFonts w:ascii="Verdana" w:hAnsi="Verdana"/>
          <w:sz w:val="20"/>
          <w:szCs w:val="20"/>
        </w:rPr>
      </w:pPr>
      <w:r w:rsidRPr="00075DE0">
        <w:rPr>
          <w:rFonts w:ascii="Verdana" w:hAnsi="Verdana"/>
          <w:bCs/>
          <w:sz w:val="20"/>
          <w:szCs w:val="20"/>
        </w:rPr>
        <w:t xml:space="preserve">Reporte de las sociedades </w:t>
      </w:r>
      <w:r>
        <w:rPr>
          <w:rFonts w:ascii="Verdana" w:hAnsi="Verdana"/>
          <w:bCs/>
          <w:sz w:val="20"/>
          <w:szCs w:val="20"/>
        </w:rPr>
        <w:t xml:space="preserve">comisionistas de bolsa </w:t>
      </w:r>
      <w:r w:rsidR="003B46CC">
        <w:rPr>
          <w:rFonts w:ascii="Verdana" w:hAnsi="Verdana"/>
          <w:bCs/>
          <w:sz w:val="20"/>
          <w:szCs w:val="20"/>
        </w:rPr>
        <w:t xml:space="preserve">de valores </w:t>
      </w:r>
      <w:r>
        <w:rPr>
          <w:rFonts w:ascii="Verdana" w:hAnsi="Verdana"/>
          <w:bCs/>
          <w:sz w:val="20"/>
          <w:szCs w:val="20"/>
        </w:rPr>
        <w:t>que realicen la actividad de financiación de valores:</w:t>
      </w:r>
    </w:p>
    <w:p w14:paraId="6FE23B18" w14:textId="77777777" w:rsidR="00AE6569" w:rsidRPr="00911A01" w:rsidRDefault="00AE6569" w:rsidP="003C1C55">
      <w:pPr>
        <w:pStyle w:val="Prrafodelista"/>
        <w:ind w:left="567"/>
        <w:jc w:val="both"/>
        <w:outlineLvl w:val="0"/>
        <w:rPr>
          <w:rFonts w:ascii="Verdana" w:hAnsi="Verdana"/>
          <w:sz w:val="20"/>
          <w:szCs w:val="20"/>
        </w:rPr>
      </w:pPr>
    </w:p>
    <w:p w14:paraId="411DD4B8" w14:textId="5D07784F" w:rsidR="00911A01" w:rsidRPr="00911A01" w:rsidRDefault="00911A01" w:rsidP="003C1C55">
      <w:pPr>
        <w:pStyle w:val="Prrafodelista"/>
        <w:ind w:left="567"/>
        <w:jc w:val="both"/>
        <w:outlineLvl w:val="0"/>
        <w:rPr>
          <w:rFonts w:ascii="Verdana" w:hAnsi="Verdana"/>
          <w:sz w:val="20"/>
          <w:szCs w:val="20"/>
        </w:rPr>
      </w:pPr>
      <w:r w:rsidRPr="00911A01">
        <w:rPr>
          <w:rFonts w:ascii="Verdana" w:hAnsi="Verdana"/>
          <w:sz w:val="20"/>
          <w:szCs w:val="20"/>
        </w:rPr>
        <w:t xml:space="preserve">Las </w:t>
      </w:r>
      <w:r w:rsidRPr="00075DE0">
        <w:rPr>
          <w:rFonts w:ascii="Verdana" w:hAnsi="Verdana"/>
          <w:bCs/>
          <w:sz w:val="20"/>
          <w:szCs w:val="20"/>
        </w:rPr>
        <w:t xml:space="preserve">sociedades </w:t>
      </w:r>
      <w:r>
        <w:rPr>
          <w:rFonts w:ascii="Verdana" w:hAnsi="Verdana"/>
          <w:bCs/>
          <w:sz w:val="20"/>
          <w:szCs w:val="20"/>
        </w:rPr>
        <w:t xml:space="preserve">comisionistas de bolsa de valores </w:t>
      </w:r>
      <w:r w:rsidRPr="00911A01">
        <w:rPr>
          <w:rFonts w:ascii="Verdana" w:hAnsi="Verdana"/>
          <w:sz w:val="20"/>
          <w:szCs w:val="20"/>
        </w:rPr>
        <w:t xml:space="preserve">que </w:t>
      </w:r>
      <w:r w:rsidR="0082013D">
        <w:rPr>
          <w:rFonts w:ascii="Verdana" w:hAnsi="Verdana"/>
          <w:sz w:val="20"/>
          <w:szCs w:val="20"/>
        </w:rPr>
        <w:t>desarrollen la actividad de financiación de valores</w:t>
      </w:r>
      <w:r w:rsidRPr="00911A01">
        <w:rPr>
          <w:rFonts w:ascii="Verdana" w:hAnsi="Verdana"/>
          <w:sz w:val="20"/>
          <w:szCs w:val="20"/>
        </w:rPr>
        <w:t xml:space="preserve"> deben reportar su</w:t>
      </w:r>
      <w:r w:rsidR="0021537D">
        <w:rPr>
          <w:rFonts w:ascii="Verdana" w:hAnsi="Verdana"/>
          <w:sz w:val="20"/>
          <w:szCs w:val="20"/>
        </w:rPr>
        <w:t>s operaciones</w:t>
      </w:r>
      <w:r w:rsidRPr="00911A01">
        <w:rPr>
          <w:rFonts w:ascii="Verdana" w:hAnsi="Verdana"/>
          <w:sz w:val="20"/>
          <w:szCs w:val="20"/>
        </w:rPr>
        <w:t xml:space="preserve"> en el MURIC</w:t>
      </w:r>
      <w:r w:rsidR="00AE6569">
        <w:rPr>
          <w:rFonts w:ascii="Verdana" w:hAnsi="Verdana"/>
          <w:sz w:val="20"/>
          <w:szCs w:val="20"/>
        </w:rPr>
        <w:t xml:space="preserve">, </w:t>
      </w:r>
      <w:r w:rsidR="00AE6569">
        <w:rPr>
          <w:rFonts w:ascii="Verdana" w:hAnsi="Verdana"/>
          <w:bCs/>
          <w:sz w:val="20"/>
          <w:szCs w:val="20"/>
        </w:rPr>
        <w:t xml:space="preserve">cuando </w:t>
      </w:r>
      <w:r w:rsidR="00AE6569" w:rsidRPr="00BA1A8C">
        <w:rPr>
          <w:rFonts w:ascii="Verdana" w:hAnsi="Verdana"/>
          <w:bCs/>
          <w:sz w:val="20"/>
          <w:szCs w:val="20"/>
        </w:rPr>
        <w:t>la entidad realic</w:t>
      </w:r>
      <w:r w:rsidR="00AE6569">
        <w:rPr>
          <w:rFonts w:ascii="Verdana" w:hAnsi="Verdana"/>
          <w:bCs/>
          <w:sz w:val="20"/>
          <w:szCs w:val="20"/>
        </w:rPr>
        <w:t>e</w:t>
      </w:r>
      <w:r w:rsidR="00AE6569" w:rsidRPr="00BA1A8C">
        <w:rPr>
          <w:rFonts w:ascii="Verdana" w:hAnsi="Verdana"/>
          <w:bCs/>
          <w:sz w:val="20"/>
          <w:szCs w:val="20"/>
        </w:rPr>
        <w:t xml:space="preserve"> operaciones </w:t>
      </w:r>
      <w:r w:rsidR="00AE6569">
        <w:rPr>
          <w:rFonts w:ascii="Verdana" w:hAnsi="Verdana"/>
          <w:bCs/>
          <w:sz w:val="20"/>
          <w:szCs w:val="20"/>
        </w:rPr>
        <w:t>objeto de reporte</w:t>
      </w:r>
      <w:r w:rsidR="00AE6569" w:rsidRPr="00BA1A8C">
        <w:rPr>
          <w:rFonts w:ascii="Verdana" w:hAnsi="Verdana"/>
          <w:bCs/>
          <w:sz w:val="20"/>
          <w:szCs w:val="20"/>
        </w:rPr>
        <w:t xml:space="preserve"> que en total superen el 10% de su patrimonio técnico al corte del mes inmediatamente anterior.</w:t>
      </w:r>
    </w:p>
    <w:p w14:paraId="6A610A17" w14:textId="4902FA10" w:rsidR="00911A01" w:rsidRPr="00A83864" w:rsidRDefault="00911A01" w:rsidP="00A83864">
      <w:pPr>
        <w:ind w:left="567"/>
        <w:jc w:val="both"/>
        <w:outlineLvl w:val="0"/>
        <w:rPr>
          <w:rFonts w:ascii="Verdana" w:hAnsi="Verdana"/>
          <w:sz w:val="20"/>
          <w:szCs w:val="20"/>
        </w:rPr>
      </w:pPr>
      <w:r w:rsidRPr="00911A01">
        <w:rPr>
          <w:rFonts w:ascii="Verdana" w:hAnsi="Verdana"/>
          <w:sz w:val="20"/>
          <w:szCs w:val="20"/>
          <w:lang w:val="es-CO"/>
        </w:rPr>
        <w:t>E</w:t>
      </w:r>
      <w:r w:rsidR="0021537D">
        <w:rPr>
          <w:rFonts w:ascii="Verdana" w:hAnsi="Verdana"/>
          <w:sz w:val="20"/>
          <w:szCs w:val="20"/>
          <w:lang w:val="es-CO"/>
        </w:rPr>
        <w:t>l</w:t>
      </w:r>
      <w:r w:rsidRPr="00911A01">
        <w:rPr>
          <w:rFonts w:ascii="Verdana" w:hAnsi="Verdana"/>
          <w:sz w:val="20"/>
          <w:szCs w:val="20"/>
          <w:lang w:val="es-CO"/>
        </w:rPr>
        <w:t xml:space="preserve"> reporte </w:t>
      </w:r>
      <w:r w:rsidR="0082013D" w:rsidRPr="00075DE0">
        <w:rPr>
          <w:rFonts w:ascii="Verdana" w:hAnsi="Verdana"/>
          <w:bCs/>
          <w:sz w:val="20"/>
          <w:szCs w:val="20"/>
        </w:rPr>
        <w:t xml:space="preserve">de las sociedades </w:t>
      </w:r>
      <w:r w:rsidR="0082013D">
        <w:rPr>
          <w:rFonts w:ascii="Verdana" w:hAnsi="Verdana"/>
          <w:bCs/>
          <w:sz w:val="20"/>
          <w:szCs w:val="20"/>
        </w:rPr>
        <w:t>comisionistas de bolsa de valores</w:t>
      </w:r>
      <w:r w:rsidRPr="00911A01">
        <w:rPr>
          <w:rFonts w:ascii="Verdana" w:hAnsi="Verdana"/>
          <w:sz w:val="20"/>
          <w:szCs w:val="20"/>
          <w:lang w:val="es-CO"/>
        </w:rPr>
        <w:t xml:space="preserve"> </w:t>
      </w:r>
      <w:r w:rsidR="00307402" w:rsidRPr="00307402">
        <w:rPr>
          <w:rFonts w:ascii="Verdana" w:hAnsi="Verdana"/>
          <w:sz w:val="20"/>
          <w:szCs w:val="20"/>
          <w:lang w:val="es-CO"/>
        </w:rPr>
        <w:t>sólo debe incluir las variables y atributos que se establezcan como obligatorios para estas entidades en la sección de «Datos de los insumos de captura» del presente documento. Las demás variables y atributos serán de reporte voluntario.</w:t>
      </w:r>
    </w:p>
    <w:p w14:paraId="511A4E09" w14:textId="77777777" w:rsidR="003B46CC" w:rsidRPr="00A83864" w:rsidRDefault="003B46CC" w:rsidP="00A83864">
      <w:pPr>
        <w:pStyle w:val="Prrafodelista"/>
        <w:rPr>
          <w:rFonts w:ascii="Verdana" w:hAnsi="Verdana"/>
          <w:bCs/>
          <w:sz w:val="20"/>
          <w:szCs w:val="20"/>
        </w:rPr>
      </w:pPr>
    </w:p>
    <w:p w14:paraId="43DBC1BD" w14:textId="70D3CDB5" w:rsidR="00BD68AE" w:rsidRPr="00FD76CE" w:rsidRDefault="003B46CC" w:rsidP="00BD68AE">
      <w:pPr>
        <w:pStyle w:val="Prrafodelista"/>
        <w:numPr>
          <w:ilvl w:val="0"/>
          <w:numId w:val="10"/>
        </w:numPr>
        <w:ind w:left="567" w:hanging="567"/>
        <w:jc w:val="both"/>
        <w:outlineLvl w:val="0"/>
        <w:rPr>
          <w:rFonts w:ascii="Verdana" w:hAnsi="Verdana"/>
          <w:sz w:val="20"/>
          <w:szCs w:val="20"/>
        </w:rPr>
      </w:pPr>
      <w:r>
        <w:rPr>
          <w:rFonts w:ascii="Verdana" w:hAnsi="Verdana"/>
          <w:bCs/>
          <w:sz w:val="20"/>
          <w:szCs w:val="20"/>
        </w:rPr>
        <w:t xml:space="preserve">Reporte de las sociedades comisionistas de bolsa de valores, sociedades fiduciarias y sociedades administradoras de inversión </w:t>
      </w:r>
      <w:r w:rsidR="00BD68AE" w:rsidRPr="00075DE0">
        <w:rPr>
          <w:rFonts w:ascii="Verdana" w:hAnsi="Verdana" w:cs="Arial"/>
          <w:sz w:val="20"/>
          <w:szCs w:val="20"/>
        </w:rPr>
        <w:t xml:space="preserve">por cuenta de </w:t>
      </w:r>
      <w:r>
        <w:rPr>
          <w:rFonts w:ascii="Verdana" w:hAnsi="Verdana" w:cs="Arial"/>
          <w:sz w:val="20"/>
          <w:szCs w:val="20"/>
        </w:rPr>
        <w:t xml:space="preserve">fondos de capital privado que originen </w:t>
      </w:r>
      <w:r w:rsidR="00D53B0A">
        <w:rPr>
          <w:rFonts w:ascii="Verdana" w:hAnsi="Verdana" w:cs="Arial"/>
          <w:sz w:val="20"/>
          <w:szCs w:val="20"/>
        </w:rPr>
        <w:t>cartera de crédito:</w:t>
      </w:r>
    </w:p>
    <w:p w14:paraId="64A071EC" w14:textId="777B180A" w:rsidR="00FD76CE" w:rsidRDefault="00FD76CE" w:rsidP="00FD76CE">
      <w:pPr>
        <w:ind w:left="567"/>
        <w:jc w:val="both"/>
        <w:outlineLvl w:val="0"/>
        <w:rPr>
          <w:rFonts w:ascii="Verdana" w:hAnsi="Verdana" w:cs="Arial"/>
          <w:sz w:val="20"/>
          <w:szCs w:val="20"/>
        </w:rPr>
      </w:pPr>
      <w:r>
        <w:rPr>
          <w:rFonts w:ascii="Verdana" w:hAnsi="Verdana"/>
          <w:bCs/>
          <w:sz w:val="20"/>
          <w:szCs w:val="20"/>
        </w:rPr>
        <w:t xml:space="preserve">Las sociedades comisionistas de bolsa de valores, sociedades fiduciarias y sociedades administradoras de inversión </w:t>
      </w:r>
      <w:r w:rsidR="003A47BA">
        <w:rPr>
          <w:rFonts w:ascii="Verdana" w:hAnsi="Verdana"/>
          <w:bCs/>
          <w:sz w:val="20"/>
          <w:szCs w:val="20"/>
        </w:rPr>
        <w:t>que administren</w:t>
      </w:r>
      <w:r w:rsidRPr="00075DE0">
        <w:rPr>
          <w:rFonts w:ascii="Verdana" w:hAnsi="Verdana" w:cs="Arial"/>
          <w:sz w:val="20"/>
          <w:szCs w:val="20"/>
        </w:rPr>
        <w:t xml:space="preserve"> </w:t>
      </w:r>
      <w:r>
        <w:rPr>
          <w:rFonts w:ascii="Verdana" w:hAnsi="Verdana" w:cs="Arial"/>
          <w:sz w:val="20"/>
          <w:szCs w:val="20"/>
        </w:rPr>
        <w:t>fondos de capital privado que originen cartera de crédito</w:t>
      </w:r>
      <w:r w:rsidR="0021537D">
        <w:rPr>
          <w:rFonts w:ascii="Verdana" w:hAnsi="Verdana" w:cs="Arial"/>
          <w:sz w:val="20"/>
          <w:szCs w:val="20"/>
        </w:rPr>
        <w:t>,</w:t>
      </w:r>
      <w:r w:rsidR="003A47BA">
        <w:rPr>
          <w:rFonts w:ascii="Verdana" w:hAnsi="Verdana" w:cs="Arial"/>
          <w:sz w:val="20"/>
          <w:szCs w:val="20"/>
        </w:rPr>
        <w:t xml:space="preserve"> de acuerdo con el artículo 3.3.2.3.3. del Decreto 2555 de 2010</w:t>
      </w:r>
      <w:r w:rsidR="0021537D">
        <w:rPr>
          <w:rFonts w:ascii="Verdana" w:hAnsi="Verdana" w:cs="Arial"/>
          <w:sz w:val="20"/>
          <w:szCs w:val="20"/>
        </w:rPr>
        <w:t>,</w:t>
      </w:r>
      <w:r w:rsidR="003A47BA">
        <w:rPr>
          <w:rFonts w:ascii="Verdana" w:hAnsi="Verdana" w:cs="Arial"/>
          <w:sz w:val="20"/>
          <w:szCs w:val="20"/>
        </w:rPr>
        <w:t xml:space="preserve"> deben reportar la cartera de los respectivos fondos.</w:t>
      </w:r>
      <w:r w:rsidR="00AE642B">
        <w:rPr>
          <w:rFonts w:ascii="Verdana" w:hAnsi="Verdana" w:cs="Arial"/>
          <w:sz w:val="20"/>
          <w:szCs w:val="20"/>
        </w:rPr>
        <w:t xml:space="preserve"> </w:t>
      </w:r>
      <w:r w:rsidR="00AE642B" w:rsidRPr="00AE642B">
        <w:rPr>
          <w:rFonts w:ascii="Verdana" w:hAnsi="Verdana" w:cs="Arial"/>
          <w:sz w:val="20"/>
          <w:szCs w:val="20"/>
        </w:rPr>
        <w:t xml:space="preserve">Para </w:t>
      </w:r>
      <w:r w:rsidR="00FB306B">
        <w:rPr>
          <w:rFonts w:ascii="Verdana" w:hAnsi="Verdana" w:cs="Arial"/>
          <w:sz w:val="20"/>
          <w:szCs w:val="20"/>
        </w:rPr>
        <w:t xml:space="preserve">el caso de </w:t>
      </w:r>
      <w:r w:rsidR="00AE642B" w:rsidRPr="00AE642B">
        <w:rPr>
          <w:rFonts w:ascii="Verdana" w:hAnsi="Verdana" w:cs="Arial"/>
          <w:sz w:val="20"/>
          <w:szCs w:val="20"/>
        </w:rPr>
        <w:t xml:space="preserve">los fondos de capital privado con compartimentos </w:t>
      </w:r>
      <w:r w:rsidR="00FB306B">
        <w:rPr>
          <w:rFonts w:ascii="Verdana" w:hAnsi="Verdana" w:cs="Arial"/>
          <w:sz w:val="20"/>
          <w:szCs w:val="20"/>
        </w:rPr>
        <w:t xml:space="preserve">se </w:t>
      </w:r>
      <w:r w:rsidR="00AE642B" w:rsidRPr="00AE642B">
        <w:rPr>
          <w:rFonts w:ascii="Verdana" w:hAnsi="Verdana" w:cs="Arial"/>
          <w:sz w:val="20"/>
          <w:szCs w:val="20"/>
        </w:rPr>
        <w:t>debe remitir la información por cada compartimento</w:t>
      </w:r>
      <w:r w:rsidR="00FB306B">
        <w:rPr>
          <w:rFonts w:ascii="Verdana" w:hAnsi="Verdana" w:cs="Arial"/>
          <w:sz w:val="20"/>
          <w:szCs w:val="20"/>
        </w:rPr>
        <w:t>,</w:t>
      </w:r>
      <w:r w:rsidR="00AE642B" w:rsidRPr="00AE642B">
        <w:rPr>
          <w:rFonts w:ascii="Verdana" w:hAnsi="Verdana" w:cs="Arial"/>
          <w:sz w:val="20"/>
          <w:szCs w:val="20"/>
        </w:rPr>
        <w:t xml:space="preserve"> sin incluir el consolidado</w:t>
      </w:r>
      <w:r w:rsidR="00AE642B">
        <w:rPr>
          <w:rFonts w:ascii="Verdana" w:hAnsi="Verdana" w:cs="Arial"/>
          <w:sz w:val="20"/>
          <w:szCs w:val="20"/>
        </w:rPr>
        <w:t>.</w:t>
      </w:r>
    </w:p>
    <w:p w14:paraId="4808491C" w14:textId="77777777" w:rsidR="00013F4A" w:rsidRDefault="00013F4A" w:rsidP="00FD76CE">
      <w:pPr>
        <w:ind w:left="567"/>
        <w:jc w:val="both"/>
        <w:outlineLvl w:val="0"/>
        <w:rPr>
          <w:rFonts w:ascii="Verdana" w:hAnsi="Verdana" w:cs="Arial"/>
          <w:sz w:val="20"/>
          <w:szCs w:val="20"/>
        </w:rPr>
      </w:pPr>
    </w:p>
    <w:p w14:paraId="59C67D70" w14:textId="360458E1" w:rsidR="00013F4A" w:rsidRPr="00A83864" w:rsidRDefault="00013F4A" w:rsidP="00A83864">
      <w:pPr>
        <w:ind w:left="567"/>
        <w:jc w:val="both"/>
        <w:outlineLvl w:val="0"/>
        <w:rPr>
          <w:rFonts w:ascii="Verdana" w:hAnsi="Verdana"/>
          <w:sz w:val="20"/>
          <w:szCs w:val="20"/>
        </w:rPr>
      </w:pPr>
      <w:r>
        <w:rPr>
          <w:rFonts w:ascii="Verdana" w:hAnsi="Verdana" w:cs="Arial"/>
          <w:sz w:val="20"/>
          <w:szCs w:val="20"/>
        </w:rPr>
        <w:t>E</w:t>
      </w:r>
      <w:r w:rsidR="0021537D">
        <w:rPr>
          <w:rFonts w:ascii="Verdana" w:hAnsi="Verdana" w:cs="Arial"/>
          <w:sz w:val="20"/>
          <w:szCs w:val="20"/>
        </w:rPr>
        <w:t>l</w:t>
      </w:r>
      <w:r>
        <w:rPr>
          <w:rFonts w:ascii="Verdana" w:hAnsi="Verdana" w:cs="Arial"/>
          <w:sz w:val="20"/>
          <w:szCs w:val="20"/>
        </w:rPr>
        <w:t xml:space="preserve"> reporte de las sociedades administradoras de fondos de capital privado </w:t>
      </w:r>
      <w:r>
        <w:rPr>
          <w:rFonts w:ascii="Verdana" w:hAnsi="Verdana"/>
          <w:bCs/>
          <w:sz w:val="20"/>
          <w:szCs w:val="20"/>
        </w:rPr>
        <w:t xml:space="preserve">sólo debe incluir las variables y atributos que se establezcan como obligatorios para estas entidades en la sección de </w:t>
      </w:r>
      <w:r w:rsidRPr="00DC33A1">
        <w:rPr>
          <w:rFonts w:ascii="Verdana" w:hAnsi="Verdana"/>
          <w:sz w:val="20"/>
          <w:szCs w:val="20"/>
        </w:rPr>
        <w:t>«</w:t>
      </w:r>
      <w:r>
        <w:rPr>
          <w:rFonts w:ascii="Verdana" w:hAnsi="Verdana"/>
          <w:bCs/>
          <w:sz w:val="20"/>
          <w:szCs w:val="20"/>
        </w:rPr>
        <w:t>Datos de los insumos de captura</w:t>
      </w:r>
      <w:r w:rsidRPr="00DC33A1">
        <w:rPr>
          <w:rFonts w:ascii="Verdana" w:hAnsi="Verdana"/>
          <w:sz w:val="20"/>
          <w:szCs w:val="20"/>
        </w:rPr>
        <w:t>»</w:t>
      </w:r>
      <w:r>
        <w:rPr>
          <w:rFonts w:ascii="Verdana" w:hAnsi="Verdana"/>
          <w:sz w:val="20"/>
          <w:szCs w:val="20"/>
        </w:rPr>
        <w:t xml:space="preserve"> del presente documento.</w:t>
      </w:r>
      <w:r w:rsidR="009F4C90">
        <w:rPr>
          <w:rFonts w:ascii="Verdana" w:hAnsi="Verdana"/>
          <w:sz w:val="20"/>
          <w:szCs w:val="20"/>
        </w:rPr>
        <w:t xml:space="preserve"> </w:t>
      </w:r>
      <w:r w:rsidR="00FA1A48" w:rsidRPr="00FA1A48">
        <w:rPr>
          <w:rFonts w:ascii="Verdana" w:hAnsi="Verdana"/>
          <w:sz w:val="20"/>
          <w:szCs w:val="20"/>
        </w:rPr>
        <w:t xml:space="preserve">Las demás variables y atributos serán de reporte voluntario.  </w:t>
      </w:r>
    </w:p>
    <w:p w14:paraId="12FC295C" w14:textId="77777777" w:rsidR="00BD68AE" w:rsidRPr="00A83864" w:rsidRDefault="00BD68AE" w:rsidP="00A83864">
      <w:pPr>
        <w:jc w:val="both"/>
        <w:outlineLvl w:val="0"/>
        <w:rPr>
          <w:rFonts w:ascii="Verdana" w:hAnsi="Verdana"/>
          <w:sz w:val="20"/>
          <w:szCs w:val="20"/>
        </w:rPr>
      </w:pPr>
    </w:p>
    <w:p w14:paraId="621C4A8D" w14:textId="126EAD1B" w:rsidR="00DB0E54" w:rsidRDefault="00DB0E54">
      <w:pPr>
        <w:pStyle w:val="Prrafodelista"/>
        <w:numPr>
          <w:ilvl w:val="0"/>
          <w:numId w:val="10"/>
        </w:numPr>
        <w:ind w:left="567" w:hanging="567"/>
        <w:jc w:val="both"/>
        <w:outlineLvl w:val="0"/>
        <w:rPr>
          <w:rFonts w:ascii="Verdana" w:hAnsi="Verdana"/>
          <w:sz w:val="20"/>
          <w:szCs w:val="20"/>
        </w:rPr>
      </w:pPr>
      <w:r>
        <w:rPr>
          <w:rFonts w:ascii="Verdana" w:hAnsi="Verdana"/>
          <w:sz w:val="20"/>
          <w:szCs w:val="20"/>
        </w:rPr>
        <w:t xml:space="preserve">El reporte de todas las entidades obligadas </w:t>
      </w:r>
      <w:r w:rsidR="00F322A1">
        <w:rPr>
          <w:rFonts w:ascii="Verdana" w:hAnsi="Verdana"/>
          <w:sz w:val="20"/>
          <w:szCs w:val="20"/>
        </w:rPr>
        <w:t xml:space="preserve">a la implementación del MURIC, diferentes de las entidades señaladas en las reglas generales </w:t>
      </w:r>
      <w:r w:rsidR="00E96AAF">
        <w:rPr>
          <w:rFonts w:ascii="Verdana" w:hAnsi="Verdana"/>
          <w:sz w:val="20"/>
          <w:szCs w:val="20"/>
        </w:rPr>
        <w:t xml:space="preserve">de diligenciamiento </w:t>
      </w:r>
      <w:r w:rsidR="00055B95">
        <w:rPr>
          <w:rFonts w:ascii="Verdana" w:hAnsi="Verdana"/>
          <w:sz w:val="20"/>
          <w:szCs w:val="20"/>
        </w:rPr>
        <w:t xml:space="preserve">No. </w:t>
      </w:r>
      <w:r w:rsidR="00E96AAF">
        <w:rPr>
          <w:rFonts w:ascii="Verdana" w:hAnsi="Verdana"/>
          <w:sz w:val="20"/>
          <w:szCs w:val="20"/>
        </w:rPr>
        <w:t>14</w:t>
      </w:r>
      <w:r w:rsidR="00966698">
        <w:rPr>
          <w:rFonts w:ascii="Verdana" w:hAnsi="Verdana"/>
          <w:sz w:val="20"/>
          <w:szCs w:val="20"/>
        </w:rPr>
        <w:t xml:space="preserve"> (ii)</w:t>
      </w:r>
      <w:r w:rsidR="00E96AAF">
        <w:rPr>
          <w:rFonts w:ascii="Verdana" w:hAnsi="Verdana"/>
          <w:sz w:val="20"/>
          <w:szCs w:val="20"/>
        </w:rPr>
        <w:t>, 15, 16, 17</w:t>
      </w:r>
      <w:r w:rsidR="00636D6C">
        <w:rPr>
          <w:rFonts w:ascii="Verdana" w:hAnsi="Verdana"/>
          <w:sz w:val="20"/>
          <w:szCs w:val="20"/>
        </w:rPr>
        <w:t>,</w:t>
      </w:r>
      <w:r w:rsidR="00290AF2">
        <w:rPr>
          <w:rFonts w:ascii="Verdana" w:hAnsi="Verdana"/>
          <w:sz w:val="20"/>
          <w:szCs w:val="20"/>
        </w:rPr>
        <w:t xml:space="preserve"> </w:t>
      </w:r>
      <w:r w:rsidR="00E96AAF">
        <w:rPr>
          <w:rFonts w:ascii="Verdana" w:hAnsi="Verdana"/>
          <w:sz w:val="20"/>
          <w:szCs w:val="20"/>
        </w:rPr>
        <w:t>18</w:t>
      </w:r>
      <w:r w:rsidR="00636D6C">
        <w:rPr>
          <w:rFonts w:ascii="Verdana" w:hAnsi="Verdana"/>
          <w:sz w:val="20"/>
          <w:szCs w:val="20"/>
        </w:rPr>
        <w:t xml:space="preserve"> y 31</w:t>
      </w:r>
      <w:r w:rsidR="00E96AAF">
        <w:rPr>
          <w:rFonts w:ascii="Verdana" w:hAnsi="Verdana"/>
          <w:sz w:val="20"/>
          <w:szCs w:val="20"/>
        </w:rPr>
        <w:t xml:space="preserve">, debe </w:t>
      </w:r>
      <w:r w:rsidR="00E96AAF" w:rsidRPr="00911A01">
        <w:rPr>
          <w:rFonts w:ascii="Verdana" w:hAnsi="Verdana"/>
          <w:sz w:val="20"/>
          <w:szCs w:val="20"/>
        </w:rPr>
        <w:t>contemplar todas las variables y atributos de los insumos que conforman el MURIC.</w:t>
      </w:r>
    </w:p>
    <w:p w14:paraId="24D608E1" w14:textId="77777777" w:rsidR="00DB0E54" w:rsidRPr="00DB0E54" w:rsidRDefault="00DB0E54" w:rsidP="00DB0E54">
      <w:pPr>
        <w:pStyle w:val="Prrafodelista"/>
        <w:ind w:left="567"/>
        <w:jc w:val="both"/>
        <w:outlineLvl w:val="0"/>
        <w:rPr>
          <w:rFonts w:ascii="Verdana" w:hAnsi="Verdana"/>
          <w:sz w:val="20"/>
          <w:szCs w:val="20"/>
        </w:rPr>
      </w:pPr>
    </w:p>
    <w:p w14:paraId="3D2E5728" w14:textId="663A3551" w:rsidR="00E27CE9" w:rsidRPr="0057092A" w:rsidRDefault="00CF627D">
      <w:pPr>
        <w:pStyle w:val="Prrafodelista"/>
        <w:numPr>
          <w:ilvl w:val="0"/>
          <w:numId w:val="10"/>
        </w:numPr>
        <w:ind w:left="567" w:hanging="567"/>
        <w:jc w:val="both"/>
        <w:outlineLvl w:val="0"/>
        <w:rPr>
          <w:rFonts w:ascii="Verdana" w:hAnsi="Verdana"/>
          <w:sz w:val="20"/>
          <w:szCs w:val="20"/>
        </w:rPr>
      </w:pPr>
      <w:r w:rsidRPr="0057092A">
        <w:rPr>
          <w:rFonts w:ascii="Verdana" w:hAnsi="Verdana"/>
          <w:bCs/>
          <w:sz w:val="20"/>
          <w:szCs w:val="20"/>
        </w:rPr>
        <w:t xml:space="preserve">El reporte del código CIIU se debe hacer con el último listado publicado </w:t>
      </w:r>
      <w:r w:rsidR="0057092A" w:rsidRPr="0057092A">
        <w:rPr>
          <w:rFonts w:ascii="Verdana" w:hAnsi="Verdana"/>
          <w:bCs/>
          <w:sz w:val="20"/>
          <w:szCs w:val="20"/>
        </w:rPr>
        <w:t>en la página web de la SFC, en la sección:</w:t>
      </w:r>
    </w:p>
    <w:p w14:paraId="30F78D90" w14:textId="1DA14592" w:rsidR="00E27CE9" w:rsidRPr="00E27CE9" w:rsidRDefault="00E27CE9" w:rsidP="00E27CE9">
      <w:pPr>
        <w:ind w:left="567"/>
        <w:jc w:val="both"/>
        <w:rPr>
          <w:rFonts w:ascii="Verdana" w:eastAsiaTheme="minorHAnsi" w:hAnsi="Verdana" w:cstheme="minorBidi"/>
          <w:i/>
          <w:iCs/>
          <w:kern w:val="2"/>
          <w:sz w:val="20"/>
          <w:szCs w:val="20"/>
          <w:lang w:val="es-CO" w:eastAsia="en-US"/>
          <w14:ligatures w14:val="standardContextual"/>
        </w:rPr>
      </w:pPr>
      <w:r w:rsidRPr="00E27CE9">
        <w:rPr>
          <w:rFonts w:ascii="Verdana" w:eastAsiaTheme="minorHAnsi" w:hAnsi="Verdana" w:cstheme="minorBidi"/>
          <w:i/>
          <w:iCs/>
          <w:kern w:val="2"/>
          <w:sz w:val="20"/>
          <w:szCs w:val="20"/>
          <w:lang w:val="es-CO" w:eastAsia="en-US"/>
          <w14:ligatures w14:val="standardContextual"/>
        </w:rPr>
        <w:t xml:space="preserve">Inicio / </w:t>
      </w:r>
      <w:r w:rsidR="004173BD">
        <w:rPr>
          <w:rFonts w:ascii="Verdana" w:eastAsiaTheme="minorHAnsi" w:hAnsi="Verdana" w:cstheme="minorBidi"/>
          <w:i/>
          <w:iCs/>
          <w:kern w:val="2"/>
          <w:sz w:val="20"/>
          <w:szCs w:val="20"/>
          <w:lang w:val="es-CO" w:eastAsia="en-US"/>
          <w14:ligatures w14:val="standardContextual"/>
        </w:rPr>
        <w:t xml:space="preserve">Entidades vigiladas y controladas </w:t>
      </w:r>
      <w:r w:rsidRPr="00E27CE9">
        <w:rPr>
          <w:rFonts w:ascii="Verdana" w:eastAsiaTheme="minorHAnsi" w:hAnsi="Verdana" w:cstheme="minorBidi"/>
          <w:i/>
          <w:iCs/>
          <w:kern w:val="2"/>
          <w:sz w:val="20"/>
          <w:szCs w:val="20"/>
          <w:lang w:val="es-CO" w:eastAsia="en-US"/>
          <w14:ligatures w14:val="standardContextual"/>
        </w:rPr>
        <w:t>/ Interés del Vigilado / Reportes / Índice de reportes de información a la Superintendencia Financiera / Guías para el reporte de información</w:t>
      </w:r>
    </w:p>
    <w:p w14:paraId="0D3E7ABE" w14:textId="77777777" w:rsidR="00E27CE9" w:rsidRPr="00E27CE9" w:rsidRDefault="00E27CE9" w:rsidP="00E27CE9">
      <w:pPr>
        <w:jc w:val="both"/>
        <w:outlineLvl w:val="0"/>
        <w:rPr>
          <w:rFonts w:ascii="Verdana" w:hAnsi="Verdana"/>
          <w:sz w:val="20"/>
          <w:szCs w:val="20"/>
        </w:rPr>
      </w:pPr>
    </w:p>
    <w:p w14:paraId="5E5B8019" w14:textId="2118B349" w:rsidR="00CF627D" w:rsidRPr="007C6615" w:rsidRDefault="00CF627D" w:rsidP="00F46874">
      <w:pPr>
        <w:pStyle w:val="Prrafodelista"/>
        <w:numPr>
          <w:ilvl w:val="0"/>
          <w:numId w:val="10"/>
        </w:numPr>
        <w:ind w:left="567" w:hanging="567"/>
        <w:jc w:val="both"/>
        <w:outlineLvl w:val="0"/>
        <w:rPr>
          <w:rFonts w:ascii="Verdana" w:hAnsi="Verdana"/>
          <w:sz w:val="20"/>
          <w:szCs w:val="20"/>
        </w:rPr>
      </w:pPr>
      <w:r w:rsidRPr="007C6615">
        <w:rPr>
          <w:rFonts w:ascii="Verdana" w:hAnsi="Verdana"/>
          <w:sz w:val="20"/>
          <w:szCs w:val="20"/>
        </w:rPr>
        <w:t xml:space="preserve">La clasificación del tamaño de las empresas se debe </w:t>
      </w:r>
      <w:r w:rsidR="008C1E15">
        <w:rPr>
          <w:rFonts w:ascii="Verdana" w:hAnsi="Verdana"/>
          <w:sz w:val="20"/>
          <w:szCs w:val="20"/>
        </w:rPr>
        <w:t xml:space="preserve">realizar de conformidad con las reglas establecidas en el </w:t>
      </w:r>
      <w:r w:rsidR="00833980">
        <w:rPr>
          <w:rFonts w:ascii="Verdana" w:hAnsi="Verdana"/>
          <w:sz w:val="20"/>
          <w:szCs w:val="20"/>
        </w:rPr>
        <w:t xml:space="preserve">Capítulo 13 del Título </w:t>
      </w:r>
      <w:r w:rsidR="00CA4282">
        <w:rPr>
          <w:rFonts w:ascii="Verdana" w:hAnsi="Verdana"/>
          <w:sz w:val="20"/>
          <w:szCs w:val="20"/>
        </w:rPr>
        <w:t>1 de la Parte 2 del Libro 2 del Decreto 1074 de 2015</w:t>
      </w:r>
      <w:r w:rsidR="008F05BF">
        <w:rPr>
          <w:rFonts w:ascii="Verdana" w:hAnsi="Verdana"/>
          <w:sz w:val="20"/>
          <w:szCs w:val="20"/>
        </w:rPr>
        <w:t>.</w:t>
      </w:r>
    </w:p>
    <w:p w14:paraId="774E17B8" w14:textId="77777777" w:rsidR="00CF627D" w:rsidRPr="00075DE0" w:rsidRDefault="00CF627D" w:rsidP="00CF627D">
      <w:pPr>
        <w:pStyle w:val="Prrafodelista"/>
        <w:ind w:left="502"/>
        <w:jc w:val="both"/>
        <w:outlineLvl w:val="0"/>
        <w:rPr>
          <w:rFonts w:ascii="Verdana" w:hAnsi="Verdana"/>
          <w:sz w:val="20"/>
          <w:szCs w:val="20"/>
        </w:rPr>
      </w:pPr>
    </w:p>
    <w:p w14:paraId="6F060589" w14:textId="276E5AFA" w:rsidR="00595EC7" w:rsidRPr="00595EC7" w:rsidRDefault="002678CA" w:rsidP="00595EC7">
      <w:pPr>
        <w:pStyle w:val="Prrafodelista"/>
        <w:numPr>
          <w:ilvl w:val="0"/>
          <w:numId w:val="10"/>
        </w:numPr>
        <w:ind w:left="567" w:hanging="567"/>
        <w:jc w:val="both"/>
        <w:outlineLvl w:val="0"/>
        <w:rPr>
          <w:rFonts w:ascii="Verdana" w:hAnsi="Verdana"/>
          <w:bCs/>
          <w:sz w:val="20"/>
          <w:szCs w:val="20"/>
        </w:rPr>
      </w:pPr>
      <w:r w:rsidRPr="00663431">
        <w:rPr>
          <w:rFonts w:ascii="Verdana" w:hAnsi="Verdana"/>
          <w:sz w:val="20"/>
          <w:szCs w:val="20"/>
        </w:rPr>
        <w:t xml:space="preserve">En </w:t>
      </w:r>
      <w:r w:rsidR="008B16D0" w:rsidRPr="00663431">
        <w:rPr>
          <w:rFonts w:ascii="Verdana" w:hAnsi="Verdana"/>
          <w:sz w:val="20"/>
          <w:szCs w:val="20"/>
        </w:rPr>
        <w:t xml:space="preserve">los insumos </w:t>
      </w:r>
      <w:r w:rsidR="008B16D0" w:rsidRPr="00DC33A1">
        <w:rPr>
          <w:rFonts w:ascii="Verdana" w:hAnsi="Verdana"/>
          <w:sz w:val="20"/>
          <w:szCs w:val="20"/>
        </w:rPr>
        <w:t>«</w:t>
      </w:r>
      <w:r w:rsidR="00DC33A1" w:rsidRPr="00DC33A1">
        <w:rPr>
          <w:rFonts w:ascii="Verdana" w:hAnsi="Verdana"/>
          <w:sz w:val="20"/>
          <w:szCs w:val="20"/>
        </w:rPr>
        <w:t>Información general de los créditos</w:t>
      </w:r>
      <w:r w:rsidR="008B16D0" w:rsidRPr="00DC33A1">
        <w:rPr>
          <w:rFonts w:ascii="Verdana" w:hAnsi="Verdana"/>
          <w:sz w:val="20"/>
          <w:szCs w:val="20"/>
        </w:rPr>
        <w:t xml:space="preserve">» (MURIC-001-001) </w:t>
      </w:r>
      <w:r w:rsidR="00DC33A1" w:rsidRPr="00DC33A1">
        <w:rPr>
          <w:rFonts w:ascii="Verdana" w:hAnsi="Verdana"/>
          <w:sz w:val="20"/>
          <w:szCs w:val="20"/>
        </w:rPr>
        <w:t xml:space="preserve">y </w:t>
      </w:r>
      <w:r w:rsidR="008B16D0" w:rsidRPr="00DC33A1">
        <w:rPr>
          <w:rFonts w:ascii="Verdana" w:hAnsi="Verdana"/>
          <w:sz w:val="20"/>
          <w:szCs w:val="20"/>
        </w:rPr>
        <w:t>«</w:t>
      </w:r>
      <w:r w:rsidR="00DC33A1" w:rsidRPr="00DC33A1">
        <w:rPr>
          <w:rFonts w:ascii="Verdana" w:hAnsi="Verdana"/>
          <w:sz w:val="20"/>
          <w:szCs w:val="20"/>
        </w:rPr>
        <w:t>A</w:t>
      </w:r>
      <w:r w:rsidR="008B16D0" w:rsidRPr="00DC33A1">
        <w:rPr>
          <w:rFonts w:ascii="Verdana" w:hAnsi="Verdana"/>
          <w:sz w:val="20"/>
          <w:szCs w:val="20"/>
        </w:rPr>
        <w:t xml:space="preserve">tributos de </w:t>
      </w:r>
      <w:r w:rsidR="00663431" w:rsidRPr="00DC33A1">
        <w:rPr>
          <w:rFonts w:ascii="Verdana" w:hAnsi="Verdana"/>
          <w:sz w:val="20"/>
          <w:szCs w:val="20"/>
        </w:rPr>
        <w:t xml:space="preserve">los </w:t>
      </w:r>
      <w:r w:rsidR="008B16D0" w:rsidRPr="00DC33A1">
        <w:rPr>
          <w:rFonts w:ascii="Verdana" w:hAnsi="Verdana"/>
          <w:sz w:val="20"/>
          <w:szCs w:val="20"/>
        </w:rPr>
        <w:t>crédito</w:t>
      </w:r>
      <w:r w:rsidR="00663431" w:rsidRPr="00DC33A1">
        <w:rPr>
          <w:rFonts w:ascii="Verdana" w:hAnsi="Verdana"/>
          <w:sz w:val="20"/>
          <w:szCs w:val="20"/>
        </w:rPr>
        <w:t>s</w:t>
      </w:r>
      <w:r w:rsidR="00AF1BC2">
        <w:rPr>
          <w:rFonts w:ascii="Verdana" w:hAnsi="Verdana"/>
          <w:sz w:val="20"/>
          <w:szCs w:val="20"/>
        </w:rPr>
        <w:t xml:space="preserve"> y deudores</w:t>
      </w:r>
      <w:r w:rsidR="008B16D0" w:rsidRPr="00DC33A1">
        <w:rPr>
          <w:rFonts w:ascii="Verdana" w:hAnsi="Verdana"/>
          <w:sz w:val="20"/>
          <w:szCs w:val="20"/>
        </w:rPr>
        <w:t xml:space="preserve">» (MURIC-001-002), </w:t>
      </w:r>
      <w:r w:rsidR="008B16D0" w:rsidRPr="00663431">
        <w:rPr>
          <w:rFonts w:ascii="Verdana" w:hAnsi="Verdana"/>
          <w:sz w:val="20"/>
          <w:szCs w:val="20"/>
        </w:rPr>
        <w:t xml:space="preserve">la información de las operaciones </w:t>
      </w:r>
      <w:r w:rsidR="00E16557">
        <w:rPr>
          <w:rFonts w:ascii="Verdana" w:hAnsi="Verdana"/>
          <w:sz w:val="20"/>
          <w:szCs w:val="20"/>
        </w:rPr>
        <w:t>se puede</w:t>
      </w:r>
      <w:r w:rsidR="008B16D0" w:rsidRPr="00663431">
        <w:rPr>
          <w:rFonts w:ascii="Verdana" w:hAnsi="Verdana"/>
          <w:sz w:val="20"/>
          <w:szCs w:val="20"/>
        </w:rPr>
        <w:t xml:space="preserve"> reportar una única vez por deudor y crédito. Por lo tanto, no es necesario que en cada reporte mensual se replique </w:t>
      </w:r>
      <w:r w:rsidR="004B0114">
        <w:rPr>
          <w:rFonts w:ascii="Verdana" w:hAnsi="Verdana"/>
          <w:sz w:val="20"/>
          <w:szCs w:val="20"/>
        </w:rPr>
        <w:t>esta</w:t>
      </w:r>
      <w:r w:rsidR="008B16D0" w:rsidRPr="00663431">
        <w:rPr>
          <w:rFonts w:ascii="Verdana" w:hAnsi="Verdana"/>
          <w:sz w:val="20"/>
          <w:szCs w:val="20"/>
        </w:rPr>
        <w:t xml:space="preserve"> información, a menos de que existan cambios en la información de algun</w:t>
      </w:r>
      <w:r w:rsidR="004B0114">
        <w:rPr>
          <w:rFonts w:ascii="Verdana" w:hAnsi="Verdana"/>
          <w:sz w:val="20"/>
          <w:szCs w:val="20"/>
        </w:rPr>
        <w:t>a de las variables o</w:t>
      </w:r>
      <w:r w:rsidR="008B16D0" w:rsidRPr="00663431">
        <w:rPr>
          <w:rFonts w:ascii="Verdana" w:hAnsi="Verdana"/>
          <w:sz w:val="20"/>
          <w:szCs w:val="20"/>
        </w:rPr>
        <w:t xml:space="preserve"> de los atributos del deudor o del crédito</w:t>
      </w:r>
      <w:r w:rsidR="0003510D">
        <w:rPr>
          <w:rFonts w:ascii="Verdana" w:hAnsi="Verdana"/>
          <w:sz w:val="20"/>
          <w:szCs w:val="20"/>
        </w:rPr>
        <w:t xml:space="preserve">, evento en el cual </w:t>
      </w:r>
      <w:r w:rsidR="00987AC7">
        <w:rPr>
          <w:rFonts w:ascii="Verdana" w:hAnsi="Verdana"/>
          <w:sz w:val="20"/>
          <w:szCs w:val="20"/>
        </w:rPr>
        <w:t xml:space="preserve">deberán reportarse la totalidad de los registros correspondientes a los insumos </w:t>
      </w:r>
      <w:r w:rsidR="00987AC7" w:rsidRPr="00DC33A1">
        <w:rPr>
          <w:rFonts w:ascii="Verdana" w:hAnsi="Verdana"/>
          <w:sz w:val="20"/>
          <w:szCs w:val="20"/>
        </w:rPr>
        <w:t>«Información general de los créditos» (MURIC-001-001) y «Atributos de los créditos</w:t>
      </w:r>
      <w:r w:rsidR="00987AC7">
        <w:rPr>
          <w:rFonts w:ascii="Verdana" w:hAnsi="Verdana"/>
          <w:sz w:val="20"/>
          <w:szCs w:val="20"/>
        </w:rPr>
        <w:t xml:space="preserve"> y deudores</w:t>
      </w:r>
      <w:r w:rsidR="00987AC7" w:rsidRPr="00DC33A1">
        <w:rPr>
          <w:rFonts w:ascii="Verdana" w:hAnsi="Verdana"/>
          <w:sz w:val="20"/>
          <w:szCs w:val="20"/>
        </w:rPr>
        <w:t>» (MURIC-001-002)</w:t>
      </w:r>
      <w:r w:rsidR="008B16D0" w:rsidRPr="00663431">
        <w:rPr>
          <w:rFonts w:ascii="Verdana" w:hAnsi="Verdana"/>
          <w:sz w:val="20"/>
          <w:szCs w:val="20"/>
        </w:rPr>
        <w:t>.</w:t>
      </w:r>
    </w:p>
    <w:p w14:paraId="550F43EB" w14:textId="77777777" w:rsidR="00595EC7" w:rsidRPr="00595EC7" w:rsidRDefault="00595EC7" w:rsidP="00595EC7">
      <w:pPr>
        <w:pStyle w:val="Prrafodelista"/>
        <w:rPr>
          <w:rFonts w:ascii="Verdana" w:hAnsi="Verdana"/>
          <w:bCs/>
          <w:sz w:val="20"/>
          <w:szCs w:val="20"/>
        </w:rPr>
      </w:pPr>
    </w:p>
    <w:p w14:paraId="5B4D4A2E" w14:textId="55C71514" w:rsidR="001164B9" w:rsidRDefault="00DE62E4" w:rsidP="00595EC7">
      <w:pPr>
        <w:pStyle w:val="Prrafodelista"/>
        <w:numPr>
          <w:ilvl w:val="0"/>
          <w:numId w:val="10"/>
        </w:numPr>
        <w:ind w:left="567" w:hanging="567"/>
        <w:jc w:val="both"/>
        <w:outlineLvl w:val="0"/>
        <w:rPr>
          <w:rFonts w:ascii="Verdana" w:hAnsi="Verdana"/>
          <w:bCs/>
          <w:sz w:val="20"/>
          <w:szCs w:val="20"/>
        </w:rPr>
      </w:pPr>
      <w:r>
        <w:rPr>
          <w:rFonts w:ascii="Verdana" w:hAnsi="Verdana"/>
          <w:bCs/>
          <w:sz w:val="20"/>
          <w:szCs w:val="20"/>
        </w:rPr>
        <w:t>Si para una determinada operación no es aplicable u</w:t>
      </w:r>
      <w:r w:rsidR="00C3006B">
        <w:rPr>
          <w:rFonts w:ascii="Verdana" w:hAnsi="Verdana"/>
          <w:bCs/>
          <w:sz w:val="20"/>
          <w:szCs w:val="20"/>
        </w:rPr>
        <w:t xml:space="preserve">na variable de los insumos </w:t>
      </w:r>
      <w:r w:rsidR="00C3006B" w:rsidRPr="00BD40EF">
        <w:rPr>
          <w:rFonts w:ascii="Verdana" w:hAnsi="Verdana"/>
          <w:bCs/>
          <w:sz w:val="20"/>
          <w:szCs w:val="20"/>
        </w:rPr>
        <w:t>MURIC-001-00</w:t>
      </w:r>
      <w:r w:rsidR="00C3006B">
        <w:rPr>
          <w:rFonts w:ascii="Verdana" w:hAnsi="Verdana"/>
          <w:bCs/>
          <w:sz w:val="20"/>
          <w:szCs w:val="20"/>
        </w:rPr>
        <w:t xml:space="preserve">1 y </w:t>
      </w:r>
      <w:r w:rsidR="00C3006B" w:rsidRPr="00BD40EF">
        <w:rPr>
          <w:rFonts w:ascii="Verdana" w:hAnsi="Verdana"/>
          <w:bCs/>
          <w:sz w:val="20"/>
          <w:szCs w:val="20"/>
        </w:rPr>
        <w:t>MURIC-001-00</w:t>
      </w:r>
      <w:r w:rsidR="00C3006B">
        <w:rPr>
          <w:rFonts w:ascii="Verdana" w:hAnsi="Verdana"/>
          <w:bCs/>
          <w:sz w:val="20"/>
          <w:szCs w:val="20"/>
        </w:rPr>
        <w:t>3</w:t>
      </w:r>
      <w:r w:rsidR="008159C7">
        <w:rPr>
          <w:rFonts w:ascii="Verdana" w:hAnsi="Verdana"/>
          <w:bCs/>
          <w:sz w:val="20"/>
          <w:szCs w:val="20"/>
        </w:rPr>
        <w:t xml:space="preserve"> conforme a </w:t>
      </w:r>
      <w:r w:rsidR="008159C7" w:rsidRPr="00DC33A1">
        <w:rPr>
          <w:rFonts w:ascii="Verdana" w:hAnsi="Verdana"/>
          <w:sz w:val="20"/>
          <w:szCs w:val="20"/>
        </w:rPr>
        <w:t>«</w:t>
      </w:r>
      <w:r w:rsidR="008159C7">
        <w:rPr>
          <w:rFonts w:ascii="Verdana" w:hAnsi="Verdana"/>
          <w:bCs/>
          <w:sz w:val="20"/>
          <w:szCs w:val="20"/>
        </w:rPr>
        <w:t>Datos de los insumos de captura</w:t>
      </w:r>
      <w:r w:rsidR="008159C7" w:rsidRPr="00DC33A1">
        <w:rPr>
          <w:rFonts w:ascii="Verdana" w:hAnsi="Verdana"/>
          <w:sz w:val="20"/>
          <w:szCs w:val="20"/>
        </w:rPr>
        <w:t>»</w:t>
      </w:r>
      <w:r w:rsidR="008159C7">
        <w:rPr>
          <w:rFonts w:ascii="Verdana" w:hAnsi="Verdana"/>
          <w:sz w:val="20"/>
          <w:szCs w:val="20"/>
        </w:rPr>
        <w:t xml:space="preserve"> del presente documento</w:t>
      </w:r>
      <w:r w:rsidR="00C3006B">
        <w:rPr>
          <w:rFonts w:ascii="Verdana" w:hAnsi="Verdana"/>
          <w:bCs/>
          <w:sz w:val="20"/>
          <w:szCs w:val="20"/>
        </w:rPr>
        <w:t>,</w:t>
      </w:r>
      <w:r w:rsidR="008159C7">
        <w:rPr>
          <w:rFonts w:ascii="Verdana" w:hAnsi="Verdana"/>
          <w:bCs/>
          <w:sz w:val="20"/>
          <w:szCs w:val="20"/>
        </w:rPr>
        <w:t xml:space="preserve"> la entidad debe reportar la variable correspondiente como </w:t>
      </w:r>
      <w:r w:rsidR="00A6016D">
        <w:rPr>
          <w:rFonts w:ascii="Verdana" w:hAnsi="Verdana"/>
          <w:bCs/>
          <w:sz w:val="20"/>
          <w:szCs w:val="20"/>
        </w:rPr>
        <w:t>nulo</w:t>
      </w:r>
      <w:r w:rsidR="00AD056F">
        <w:rPr>
          <w:rFonts w:ascii="Verdana" w:hAnsi="Verdana"/>
          <w:bCs/>
          <w:sz w:val="20"/>
          <w:szCs w:val="20"/>
        </w:rPr>
        <w:t xml:space="preserve"> (</w:t>
      </w:r>
      <w:r w:rsidR="00AD056F" w:rsidRPr="00DC33A1">
        <w:rPr>
          <w:rFonts w:ascii="Verdana" w:hAnsi="Verdana"/>
          <w:sz w:val="20"/>
          <w:szCs w:val="20"/>
        </w:rPr>
        <w:t>«</w:t>
      </w:r>
      <w:r w:rsidR="00AD056F">
        <w:rPr>
          <w:rFonts w:ascii="Verdana" w:hAnsi="Verdana"/>
          <w:bCs/>
          <w:sz w:val="20"/>
          <w:szCs w:val="20"/>
        </w:rPr>
        <w:t>null</w:t>
      </w:r>
      <w:r w:rsidR="00AD056F" w:rsidRPr="00DC33A1">
        <w:rPr>
          <w:rFonts w:ascii="Verdana" w:hAnsi="Verdana"/>
          <w:sz w:val="20"/>
          <w:szCs w:val="20"/>
        </w:rPr>
        <w:t>»</w:t>
      </w:r>
      <w:r w:rsidR="00AD056F">
        <w:rPr>
          <w:rFonts w:ascii="Verdana" w:hAnsi="Verdana"/>
          <w:bCs/>
          <w:sz w:val="20"/>
          <w:szCs w:val="20"/>
        </w:rPr>
        <w:t>)</w:t>
      </w:r>
      <w:r w:rsidR="001164B9">
        <w:rPr>
          <w:rFonts w:ascii="Verdana" w:hAnsi="Verdana"/>
          <w:bCs/>
          <w:sz w:val="20"/>
          <w:szCs w:val="20"/>
        </w:rPr>
        <w:t>.</w:t>
      </w:r>
      <w:r w:rsidR="00C3006B">
        <w:rPr>
          <w:rFonts w:ascii="Verdana" w:hAnsi="Verdana"/>
          <w:bCs/>
          <w:sz w:val="20"/>
          <w:szCs w:val="20"/>
        </w:rPr>
        <w:t xml:space="preserve"> </w:t>
      </w:r>
    </w:p>
    <w:p w14:paraId="3F23B382" w14:textId="77777777" w:rsidR="001164B9" w:rsidRPr="001164B9" w:rsidRDefault="001164B9" w:rsidP="001164B9">
      <w:pPr>
        <w:pStyle w:val="Prrafodelista"/>
        <w:rPr>
          <w:rFonts w:ascii="Verdana" w:hAnsi="Verdana"/>
          <w:bCs/>
          <w:sz w:val="20"/>
          <w:szCs w:val="20"/>
        </w:rPr>
      </w:pPr>
    </w:p>
    <w:p w14:paraId="13F0D4B6" w14:textId="496C5031" w:rsidR="00CF627D" w:rsidRPr="00595EC7" w:rsidRDefault="00CF627D" w:rsidP="001164B9">
      <w:pPr>
        <w:pStyle w:val="Prrafodelista"/>
        <w:ind w:left="567"/>
        <w:jc w:val="both"/>
        <w:outlineLvl w:val="0"/>
        <w:rPr>
          <w:rFonts w:ascii="Verdana" w:hAnsi="Verdana"/>
          <w:bCs/>
          <w:sz w:val="20"/>
          <w:szCs w:val="20"/>
        </w:rPr>
      </w:pPr>
      <w:r w:rsidRPr="00595EC7">
        <w:rPr>
          <w:rFonts w:ascii="Verdana" w:hAnsi="Verdana"/>
          <w:bCs/>
          <w:sz w:val="20"/>
          <w:szCs w:val="20"/>
        </w:rPr>
        <w:t xml:space="preserve">Si </w:t>
      </w:r>
      <w:r w:rsidR="007930D8" w:rsidRPr="00595EC7">
        <w:rPr>
          <w:rFonts w:ascii="Verdana" w:hAnsi="Verdana"/>
          <w:bCs/>
          <w:sz w:val="20"/>
          <w:szCs w:val="20"/>
        </w:rPr>
        <w:t>para</w:t>
      </w:r>
      <w:r w:rsidR="001D7554">
        <w:rPr>
          <w:rFonts w:ascii="Verdana" w:hAnsi="Verdana"/>
          <w:bCs/>
          <w:sz w:val="20"/>
          <w:szCs w:val="20"/>
        </w:rPr>
        <w:t xml:space="preserve"> una</w:t>
      </w:r>
      <w:r w:rsidR="007930D8" w:rsidRPr="00595EC7">
        <w:rPr>
          <w:rFonts w:ascii="Verdana" w:hAnsi="Verdana"/>
          <w:bCs/>
          <w:sz w:val="20"/>
          <w:szCs w:val="20"/>
        </w:rPr>
        <w:t xml:space="preserve"> determinada </w:t>
      </w:r>
      <w:r w:rsidR="008E070B" w:rsidRPr="00595EC7">
        <w:rPr>
          <w:rFonts w:ascii="Verdana" w:hAnsi="Verdana"/>
          <w:bCs/>
          <w:sz w:val="20"/>
          <w:szCs w:val="20"/>
        </w:rPr>
        <w:t xml:space="preserve">operación </w:t>
      </w:r>
      <w:r w:rsidR="007930D8" w:rsidRPr="00595EC7">
        <w:rPr>
          <w:rFonts w:ascii="Verdana" w:hAnsi="Verdana"/>
          <w:bCs/>
          <w:sz w:val="20"/>
          <w:szCs w:val="20"/>
        </w:rPr>
        <w:t xml:space="preserve">no es aplicable </w:t>
      </w:r>
      <w:r w:rsidRPr="00595EC7">
        <w:rPr>
          <w:rFonts w:ascii="Verdana" w:hAnsi="Verdana"/>
          <w:bCs/>
          <w:sz w:val="20"/>
          <w:szCs w:val="20"/>
        </w:rPr>
        <w:t>un atributo</w:t>
      </w:r>
      <w:r w:rsidR="00595EC7">
        <w:rPr>
          <w:rFonts w:ascii="Verdana" w:hAnsi="Verdana"/>
          <w:bCs/>
          <w:sz w:val="20"/>
          <w:szCs w:val="20"/>
        </w:rPr>
        <w:t xml:space="preserve"> de crédito</w:t>
      </w:r>
      <w:r w:rsidRPr="00595EC7">
        <w:rPr>
          <w:rFonts w:ascii="Verdana" w:hAnsi="Verdana"/>
          <w:bCs/>
          <w:sz w:val="20"/>
          <w:szCs w:val="20"/>
        </w:rPr>
        <w:t xml:space="preserve"> </w:t>
      </w:r>
      <w:r w:rsidR="00F818BE" w:rsidRPr="00BD40EF">
        <w:rPr>
          <w:rFonts w:ascii="Verdana" w:hAnsi="Verdana"/>
          <w:bCs/>
          <w:sz w:val="20"/>
          <w:szCs w:val="20"/>
        </w:rPr>
        <w:t>(MURIC-001-00</w:t>
      </w:r>
      <w:r w:rsidR="00F818BE">
        <w:rPr>
          <w:rFonts w:ascii="Verdana" w:hAnsi="Verdana"/>
          <w:bCs/>
          <w:sz w:val="20"/>
          <w:szCs w:val="20"/>
        </w:rPr>
        <w:t>2</w:t>
      </w:r>
      <w:r w:rsidR="00F818BE" w:rsidRPr="00BD40EF">
        <w:rPr>
          <w:rFonts w:ascii="Verdana" w:hAnsi="Verdana"/>
          <w:bCs/>
          <w:sz w:val="20"/>
          <w:szCs w:val="20"/>
        </w:rPr>
        <w:t>)</w:t>
      </w:r>
      <w:r w:rsidR="00F818BE">
        <w:rPr>
          <w:rFonts w:ascii="Verdana" w:hAnsi="Verdana"/>
          <w:bCs/>
          <w:sz w:val="20"/>
          <w:szCs w:val="20"/>
        </w:rPr>
        <w:t xml:space="preserve"> </w:t>
      </w:r>
      <w:r w:rsidRPr="00595EC7">
        <w:rPr>
          <w:rFonts w:ascii="Verdana" w:hAnsi="Verdana"/>
          <w:bCs/>
          <w:sz w:val="20"/>
          <w:szCs w:val="20"/>
        </w:rPr>
        <w:t>o no se va a reportar</w:t>
      </w:r>
      <w:r w:rsidR="008E070B" w:rsidRPr="00595EC7">
        <w:rPr>
          <w:rFonts w:ascii="Verdana" w:hAnsi="Verdana"/>
          <w:bCs/>
          <w:sz w:val="20"/>
          <w:szCs w:val="20"/>
        </w:rPr>
        <w:t xml:space="preserve"> </w:t>
      </w:r>
      <w:r w:rsidR="00DB0F2D">
        <w:rPr>
          <w:rFonts w:ascii="Verdana" w:hAnsi="Verdana"/>
          <w:bCs/>
          <w:sz w:val="20"/>
          <w:szCs w:val="20"/>
        </w:rPr>
        <w:t xml:space="preserve">un atributo </w:t>
      </w:r>
      <w:r w:rsidR="008E070B" w:rsidRPr="00595EC7">
        <w:rPr>
          <w:rFonts w:ascii="Verdana" w:hAnsi="Verdana"/>
          <w:bCs/>
          <w:sz w:val="20"/>
          <w:szCs w:val="20"/>
        </w:rPr>
        <w:t>en un reporte específico</w:t>
      </w:r>
      <w:r w:rsidRPr="00595EC7">
        <w:rPr>
          <w:rFonts w:ascii="Verdana" w:hAnsi="Verdana"/>
          <w:bCs/>
          <w:sz w:val="20"/>
          <w:szCs w:val="20"/>
        </w:rPr>
        <w:t xml:space="preserve">, </w:t>
      </w:r>
      <w:r w:rsidR="001D7554">
        <w:rPr>
          <w:rFonts w:ascii="Verdana" w:hAnsi="Verdana"/>
          <w:sz w:val="20"/>
          <w:szCs w:val="20"/>
        </w:rPr>
        <w:t>no es necesario</w:t>
      </w:r>
      <w:r w:rsidRPr="00595EC7">
        <w:rPr>
          <w:rFonts w:ascii="Verdana" w:hAnsi="Verdana"/>
          <w:bCs/>
          <w:sz w:val="20"/>
          <w:szCs w:val="20"/>
        </w:rPr>
        <w:t xml:space="preserve"> crear un registro (fila) para ese atributo</w:t>
      </w:r>
      <w:r w:rsidR="00DB0F2D">
        <w:rPr>
          <w:rFonts w:ascii="Verdana" w:hAnsi="Verdana"/>
          <w:bCs/>
          <w:sz w:val="20"/>
          <w:szCs w:val="20"/>
        </w:rPr>
        <w:t xml:space="preserve"> (no se debe reportar como </w:t>
      </w:r>
      <w:r w:rsidR="00DB0F2D">
        <w:rPr>
          <w:rFonts w:ascii="Verdana" w:hAnsi="Verdana"/>
          <w:sz w:val="20"/>
          <w:szCs w:val="20"/>
        </w:rPr>
        <w:t>no aplicable)</w:t>
      </w:r>
      <w:r w:rsidRPr="00595EC7">
        <w:rPr>
          <w:rFonts w:ascii="Verdana" w:hAnsi="Verdana"/>
          <w:bCs/>
          <w:sz w:val="20"/>
          <w:szCs w:val="20"/>
        </w:rPr>
        <w:t>.</w:t>
      </w:r>
      <w:r w:rsidR="00DB0F2D">
        <w:rPr>
          <w:rFonts w:ascii="Verdana" w:hAnsi="Verdana"/>
          <w:bCs/>
          <w:sz w:val="20"/>
          <w:szCs w:val="20"/>
        </w:rPr>
        <w:t xml:space="preserve"> En consecuencia, s</w:t>
      </w:r>
      <w:r w:rsidRPr="00595EC7">
        <w:rPr>
          <w:rFonts w:ascii="Verdana" w:hAnsi="Verdana"/>
          <w:bCs/>
          <w:sz w:val="20"/>
          <w:szCs w:val="20"/>
        </w:rPr>
        <w:t xml:space="preserve">olo </w:t>
      </w:r>
      <w:r w:rsidR="00496687" w:rsidRPr="00595EC7">
        <w:rPr>
          <w:rFonts w:ascii="Verdana" w:hAnsi="Verdana"/>
          <w:bCs/>
          <w:sz w:val="20"/>
          <w:szCs w:val="20"/>
        </w:rPr>
        <w:t xml:space="preserve">se deben </w:t>
      </w:r>
      <w:r w:rsidRPr="00595EC7">
        <w:rPr>
          <w:rFonts w:ascii="Verdana" w:hAnsi="Verdana"/>
          <w:bCs/>
          <w:sz w:val="20"/>
          <w:szCs w:val="20"/>
        </w:rPr>
        <w:t>report</w:t>
      </w:r>
      <w:r w:rsidR="00496687" w:rsidRPr="00595EC7">
        <w:rPr>
          <w:rFonts w:ascii="Verdana" w:hAnsi="Verdana"/>
          <w:bCs/>
          <w:sz w:val="20"/>
          <w:szCs w:val="20"/>
        </w:rPr>
        <w:t xml:space="preserve">ar </w:t>
      </w:r>
      <w:r w:rsidR="00E16557">
        <w:rPr>
          <w:rFonts w:ascii="Verdana" w:hAnsi="Verdana"/>
          <w:bCs/>
          <w:sz w:val="20"/>
          <w:szCs w:val="20"/>
        </w:rPr>
        <w:t xml:space="preserve">los </w:t>
      </w:r>
      <w:r w:rsidRPr="00595EC7">
        <w:rPr>
          <w:rFonts w:ascii="Verdana" w:hAnsi="Verdana"/>
          <w:bCs/>
          <w:sz w:val="20"/>
          <w:szCs w:val="20"/>
        </w:rPr>
        <w:t xml:space="preserve">atributos </w:t>
      </w:r>
      <w:r w:rsidR="00B21D31" w:rsidRPr="00595EC7">
        <w:rPr>
          <w:rFonts w:ascii="Verdana" w:hAnsi="Verdana"/>
          <w:bCs/>
          <w:sz w:val="20"/>
          <w:szCs w:val="20"/>
        </w:rPr>
        <w:t>aplicables</w:t>
      </w:r>
      <w:r w:rsidR="00397B60" w:rsidRPr="00595EC7">
        <w:rPr>
          <w:rFonts w:ascii="Verdana" w:hAnsi="Verdana"/>
          <w:bCs/>
          <w:sz w:val="20"/>
          <w:szCs w:val="20"/>
        </w:rPr>
        <w:t xml:space="preserve"> según cada crédito objeto de reporte</w:t>
      </w:r>
      <w:r w:rsidRPr="00595EC7">
        <w:rPr>
          <w:rFonts w:ascii="Verdana" w:hAnsi="Verdana"/>
          <w:bCs/>
          <w:sz w:val="20"/>
          <w:szCs w:val="20"/>
        </w:rPr>
        <w:t xml:space="preserve">. </w:t>
      </w:r>
    </w:p>
    <w:p w14:paraId="191CF966" w14:textId="77777777" w:rsidR="00CF627D" w:rsidRPr="00075DE0" w:rsidRDefault="00CF627D" w:rsidP="00CF627D">
      <w:pPr>
        <w:pStyle w:val="Prrafodelista"/>
        <w:ind w:left="502"/>
        <w:jc w:val="both"/>
        <w:outlineLvl w:val="0"/>
        <w:rPr>
          <w:rFonts w:ascii="Verdana" w:hAnsi="Verdana"/>
          <w:bCs/>
          <w:sz w:val="20"/>
          <w:szCs w:val="20"/>
        </w:rPr>
      </w:pPr>
    </w:p>
    <w:p w14:paraId="07988923" w14:textId="58F5DE46" w:rsidR="00CF627D" w:rsidRPr="00075DE0" w:rsidRDefault="00CF627D" w:rsidP="00F46874">
      <w:pPr>
        <w:pStyle w:val="Prrafodelista"/>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Para las operaciones </w:t>
      </w:r>
      <w:r w:rsidRPr="00100725">
        <w:rPr>
          <w:rFonts w:ascii="Verdana" w:hAnsi="Verdana"/>
          <w:bCs/>
          <w:sz w:val="20"/>
          <w:szCs w:val="20"/>
        </w:rPr>
        <w:t xml:space="preserve">castigadas y/o </w:t>
      </w:r>
      <w:r w:rsidR="00157C44">
        <w:rPr>
          <w:rFonts w:ascii="Verdana" w:hAnsi="Verdana"/>
          <w:bCs/>
          <w:sz w:val="20"/>
          <w:szCs w:val="20"/>
        </w:rPr>
        <w:t>pagadas en su totalidad</w:t>
      </w:r>
      <w:r w:rsidRPr="00075DE0">
        <w:rPr>
          <w:rFonts w:ascii="Verdana" w:hAnsi="Verdana"/>
          <w:bCs/>
          <w:sz w:val="20"/>
          <w:szCs w:val="20"/>
        </w:rPr>
        <w:t xml:space="preserve">, se debe reportar el detalle del saldo, la mora, la calificación y, en general, los movimientos del mes de la novedad. </w:t>
      </w:r>
    </w:p>
    <w:p w14:paraId="01D1B758" w14:textId="77777777" w:rsidR="00CF627D" w:rsidRPr="00075DE0" w:rsidRDefault="00CF627D" w:rsidP="00F46874">
      <w:pPr>
        <w:pStyle w:val="Prrafodelista"/>
        <w:ind w:left="567" w:hanging="567"/>
        <w:rPr>
          <w:rFonts w:ascii="Verdana" w:hAnsi="Verdana"/>
          <w:bCs/>
          <w:sz w:val="20"/>
          <w:szCs w:val="20"/>
        </w:rPr>
      </w:pPr>
    </w:p>
    <w:p w14:paraId="65736436" w14:textId="2C209845" w:rsidR="00CF627D" w:rsidRPr="00075DE0" w:rsidRDefault="00CF627D" w:rsidP="00F46874">
      <w:pPr>
        <w:pStyle w:val="Prrafodelista"/>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En el campo </w:t>
      </w:r>
      <w:r w:rsidR="005C686B" w:rsidRPr="00BD40EF">
        <w:rPr>
          <w:rFonts w:ascii="Verdana" w:hAnsi="Verdana"/>
          <w:bCs/>
          <w:sz w:val="20"/>
          <w:szCs w:val="20"/>
        </w:rPr>
        <w:t>«</w:t>
      </w:r>
      <w:r w:rsidRPr="00075DE0">
        <w:rPr>
          <w:rFonts w:ascii="Verdana" w:hAnsi="Verdana"/>
          <w:bCs/>
          <w:sz w:val="20"/>
          <w:szCs w:val="20"/>
        </w:rPr>
        <w:t xml:space="preserve">Provisión </w:t>
      </w:r>
      <w:r w:rsidR="00081A37">
        <w:rPr>
          <w:rFonts w:ascii="Verdana" w:hAnsi="Verdana"/>
          <w:bCs/>
          <w:sz w:val="20"/>
          <w:szCs w:val="20"/>
        </w:rPr>
        <w:t>o</w:t>
      </w:r>
      <w:r w:rsidRPr="00075DE0">
        <w:rPr>
          <w:rFonts w:ascii="Verdana" w:hAnsi="Verdana"/>
          <w:bCs/>
          <w:sz w:val="20"/>
          <w:szCs w:val="20"/>
        </w:rPr>
        <w:t>tras</w:t>
      </w:r>
      <w:r w:rsidR="005C686B" w:rsidRPr="00BD40EF">
        <w:rPr>
          <w:rFonts w:ascii="Verdana" w:hAnsi="Verdana"/>
          <w:bCs/>
          <w:sz w:val="20"/>
          <w:szCs w:val="20"/>
        </w:rPr>
        <w:t>»</w:t>
      </w:r>
      <w:r w:rsidRPr="00075DE0">
        <w:rPr>
          <w:rFonts w:ascii="Verdana" w:hAnsi="Verdana"/>
          <w:bCs/>
          <w:sz w:val="20"/>
          <w:szCs w:val="20"/>
        </w:rPr>
        <w:t xml:space="preserve"> del </w:t>
      </w:r>
      <w:r w:rsidR="005C686B" w:rsidRPr="00BD40EF">
        <w:rPr>
          <w:rFonts w:ascii="Verdana" w:hAnsi="Verdana"/>
          <w:sz w:val="20"/>
          <w:szCs w:val="20"/>
        </w:rPr>
        <w:t xml:space="preserve">insumo </w:t>
      </w:r>
      <w:r w:rsidR="005C686B" w:rsidRPr="00BD40EF">
        <w:rPr>
          <w:rFonts w:ascii="Verdana" w:hAnsi="Verdana"/>
          <w:bCs/>
          <w:sz w:val="20"/>
          <w:szCs w:val="20"/>
        </w:rPr>
        <w:t>«</w:t>
      </w:r>
      <w:r w:rsidR="00A17CE1">
        <w:rPr>
          <w:rFonts w:ascii="Verdana" w:hAnsi="Verdana"/>
          <w:sz w:val="20"/>
          <w:szCs w:val="20"/>
        </w:rPr>
        <w:t>M</w:t>
      </w:r>
      <w:r w:rsidR="005C686B" w:rsidRPr="00BD40EF">
        <w:rPr>
          <w:rFonts w:ascii="Verdana" w:hAnsi="Verdana"/>
          <w:sz w:val="20"/>
          <w:szCs w:val="20"/>
        </w:rPr>
        <w:t>ovimientos de cartera</w:t>
      </w:r>
      <w:r w:rsidR="005C686B" w:rsidRPr="00BD40EF">
        <w:rPr>
          <w:rFonts w:ascii="Verdana" w:hAnsi="Verdana"/>
          <w:bCs/>
          <w:sz w:val="20"/>
          <w:szCs w:val="20"/>
        </w:rPr>
        <w:t>» (MURIC-001-003)</w:t>
      </w:r>
      <w:r w:rsidR="005C686B">
        <w:rPr>
          <w:rFonts w:ascii="Verdana" w:hAnsi="Verdana"/>
          <w:bCs/>
          <w:sz w:val="20"/>
          <w:szCs w:val="20"/>
        </w:rPr>
        <w:t xml:space="preserve"> </w:t>
      </w:r>
      <w:r w:rsidRPr="00075DE0">
        <w:rPr>
          <w:rFonts w:ascii="Verdana" w:hAnsi="Verdana"/>
          <w:bCs/>
          <w:sz w:val="20"/>
          <w:szCs w:val="20"/>
        </w:rPr>
        <w:t>se debe</w:t>
      </w:r>
      <w:r w:rsidR="00A574EE">
        <w:rPr>
          <w:rFonts w:ascii="Verdana" w:hAnsi="Verdana"/>
          <w:bCs/>
          <w:sz w:val="20"/>
          <w:szCs w:val="20"/>
        </w:rPr>
        <w:t>n</w:t>
      </w:r>
      <w:r w:rsidRPr="00075DE0">
        <w:rPr>
          <w:rFonts w:ascii="Verdana" w:hAnsi="Verdana"/>
          <w:bCs/>
          <w:sz w:val="20"/>
          <w:szCs w:val="20"/>
        </w:rPr>
        <w:t xml:space="preserve"> reportar las provisiones de crédito que no tienen modelo de referencia y</w:t>
      </w:r>
      <w:r w:rsidR="00A574EE">
        <w:rPr>
          <w:rFonts w:ascii="Verdana" w:hAnsi="Verdana"/>
          <w:bCs/>
          <w:sz w:val="20"/>
          <w:szCs w:val="20"/>
        </w:rPr>
        <w:t>,</w:t>
      </w:r>
      <w:r w:rsidRPr="00075DE0">
        <w:rPr>
          <w:rFonts w:ascii="Verdana" w:hAnsi="Verdana"/>
          <w:bCs/>
          <w:sz w:val="20"/>
          <w:szCs w:val="20"/>
        </w:rPr>
        <w:t xml:space="preserve"> por lo tanto</w:t>
      </w:r>
      <w:r w:rsidR="00A574EE">
        <w:rPr>
          <w:rFonts w:ascii="Verdana" w:hAnsi="Verdana"/>
          <w:bCs/>
          <w:sz w:val="20"/>
          <w:szCs w:val="20"/>
        </w:rPr>
        <w:t>,</w:t>
      </w:r>
      <w:r w:rsidRPr="00075DE0">
        <w:rPr>
          <w:rFonts w:ascii="Verdana" w:hAnsi="Verdana"/>
          <w:bCs/>
          <w:sz w:val="20"/>
          <w:szCs w:val="20"/>
        </w:rPr>
        <w:t xml:space="preserve"> los campos </w:t>
      </w:r>
      <w:r w:rsidR="00A574EE">
        <w:rPr>
          <w:rFonts w:ascii="Verdana" w:hAnsi="Verdana"/>
          <w:bCs/>
          <w:sz w:val="20"/>
          <w:szCs w:val="20"/>
        </w:rPr>
        <w:t xml:space="preserve">correspondientes a las </w:t>
      </w:r>
      <w:r w:rsidRPr="00075DE0">
        <w:rPr>
          <w:rFonts w:ascii="Verdana" w:hAnsi="Verdana"/>
          <w:bCs/>
          <w:sz w:val="20"/>
          <w:szCs w:val="20"/>
        </w:rPr>
        <w:t xml:space="preserve">provisiones contracíclicas y procíclicas se reportan en cero. </w:t>
      </w:r>
    </w:p>
    <w:p w14:paraId="16D86322" w14:textId="77777777" w:rsidR="00CF627D" w:rsidRPr="00075DE0" w:rsidRDefault="00CF627D" w:rsidP="00F46874">
      <w:pPr>
        <w:pStyle w:val="Prrafodelista"/>
        <w:ind w:left="567" w:hanging="567"/>
        <w:rPr>
          <w:rFonts w:ascii="Verdana" w:hAnsi="Verdana"/>
          <w:bCs/>
          <w:sz w:val="20"/>
          <w:szCs w:val="20"/>
        </w:rPr>
      </w:pPr>
    </w:p>
    <w:p w14:paraId="065FCEF8" w14:textId="18F9DB1C" w:rsidR="00CF627D" w:rsidRPr="003C1C55" w:rsidRDefault="00B85AC9" w:rsidP="00F46874">
      <w:pPr>
        <w:pStyle w:val="Prrafodelista"/>
        <w:numPr>
          <w:ilvl w:val="0"/>
          <w:numId w:val="10"/>
        </w:numPr>
        <w:ind w:left="567" w:hanging="567"/>
        <w:jc w:val="both"/>
        <w:outlineLvl w:val="0"/>
        <w:rPr>
          <w:rFonts w:ascii="Verdana" w:hAnsi="Verdana"/>
          <w:bCs/>
          <w:sz w:val="20"/>
          <w:szCs w:val="20"/>
        </w:rPr>
      </w:pPr>
      <w:r w:rsidRPr="003C1C55">
        <w:rPr>
          <w:rFonts w:ascii="Verdana" w:hAnsi="Verdana"/>
          <w:bCs/>
          <w:sz w:val="20"/>
          <w:szCs w:val="20"/>
        </w:rPr>
        <w:t>En l</w:t>
      </w:r>
      <w:r w:rsidR="00CF627D" w:rsidRPr="003C1C55">
        <w:rPr>
          <w:rFonts w:ascii="Verdana" w:hAnsi="Verdana"/>
          <w:bCs/>
          <w:sz w:val="20"/>
          <w:szCs w:val="20"/>
        </w:rPr>
        <w:t xml:space="preserve">os campos de </w:t>
      </w:r>
      <w:r w:rsidR="00CF6C63" w:rsidRPr="003C1C55">
        <w:rPr>
          <w:rFonts w:ascii="Verdana" w:hAnsi="Verdana"/>
          <w:bCs/>
          <w:sz w:val="20"/>
          <w:szCs w:val="20"/>
        </w:rPr>
        <w:t>«</w:t>
      </w:r>
      <w:r w:rsidR="00CF627D" w:rsidRPr="003C1C55">
        <w:rPr>
          <w:rFonts w:ascii="Verdana" w:hAnsi="Verdana"/>
          <w:bCs/>
          <w:sz w:val="20"/>
          <w:szCs w:val="20"/>
        </w:rPr>
        <w:t xml:space="preserve">Valor </w:t>
      </w:r>
      <w:r w:rsidR="00081A37" w:rsidRPr="003C1C55">
        <w:rPr>
          <w:rFonts w:ascii="Verdana" w:hAnsi="Verdana"/>
          <w:bCs/>
          <w:sz w:val="20"/>
          <w:szCs w:val="20"/>
        </w:rPr>
        <w:t>g</w:t>
      </w:r>
      <w:r w:rsidR="00CF627D" w:rsidRPr="003C1C55">
        <w:rPr>
          <w:rFonts w:ascii="Verdana" w:hAnsi="Verdana"/>
          <w:bCs/>
          <w:sz w:val="20"/>
          <w:szCs w:val="20"/>
        </w:rPr>
        <w:t>arantía</w:t>
      </w:r>
      <w:r w:rsidR="00CF6C63" w:rsidRPr="003C1C55">
        <w:rPr>
          <w:rFonts w:ascii="Verdana" w:hAnsi="Verdana"/>
          <w:bCs/>
          <w:sz w:val="20"/>
          <w:szCs w:val="20"/>
        </w:rPr>
        <w:t>»</w:t>
      </w:r>
      <w:r w:rsidR="00CF627D" w:rsidRPr="003C1C55">
        <w:rPr>
          <w:rFonts w:ascii="Verdana" w:hAnsi="Verdana"/>
          <w:bCs/>
          <w:sz w:val="20"/>
          <w:szCs w:val="20"/>
        </w:rPr>
        <w:t xml:space="preserve">, </w:t>
      </w:r>
      <w:r w:rsidR="00CF6C63" w:rsidRPr="003C1C55">
        <w:rPr>
          <w:rFonts w:ascii="Verdana" w:hAnsi="Verdana"/>
          <w:bCs/>
          <w:sz w:val="20"/>
          <w:szCs w:val="20"/>
        </w:rPr>
        <w:t>«</w:t>
      </w:r>
      <w:r w:rsidR="00CF627D" w:rsidRPr="003C1C55">
        <w:rPr>
          <w:rFonts w:ascii="Verdana" w:hAnsi="Verdana"/>
          <w:bCs/>
          <w:sz w:val="20"/>
          <w:szCs w:val="20"/>
        </w:rPr>
        <w:t xml:space="preserve">Tipo </w:t>
      </w:r>
      <w:r w:rsidR="00081A37" w:rsidRPr="003C1C55">
        <w:rPr>
          <w:rFonts w:ascii="Verdana" w:hAnsi="Verdana"/>
          <w:bCs/>
          <w:sz w:val="20"/>
          <w:szCs w:val="20"/>
        </w:rPr>
        <w:t>g</w:t>
      </w:r>
      <w:r w:rsidR="00CF627D" w:rsidRPr="003C1C55">
        <w:rPr>
          <w:rFonts w:ascii="Verdana" w:hAnsi="Verdana"/>
          <w:bCs/>
          <w:sz w:val="20"/>
          <w:szCs w:val="20"/>
        </w:rPr>
        <w:t>arantía</w:t>
      </w:r>
      <w:r w:rsidR="00CF6C63" w:rsidRPr="003C1C55">
        <w:rPr>
          <w:rFonts w:ascii="Verdana" w:hAnsi="Verdana"/>
          <w:bCs/>
          <w:sz w:val="20"/>
          <w:szCs w:val="20"/>
        </w:rPr>
        <w:t>»</w:t>
      </w:r>
      <w:r w:rsidR="005A271B" w:rsidRPr="003C1C55">
        <w:rPr>
          <w:rFonts w:ascii="Verdana" w:hAnsi="Verdana"/>
          <w:bCs/>
          <w:sz w:val="20"/>
          <w:szCs w:val="20"/>
        </w:rPr>
        <w:t xml:space="preserve"> y</w:t>
      </w:r>
      <w:r w:rsidR="00CF627D" w:rsidRPr="003C1C55">
        <w:rPr>
          <w:rFonts w:ascii="Verdana" w:hAnsi="Verdana"/>
          <w:bCs/>
          <w:sz w:val="20"/>
          <w:szCs w:val="20"/>
        </w:rPr>
        <w:t xml:space="preserve"> </w:t>
      </w:r>
      <w:r w:rsidR="00CF6C63" w:rsidRPr="003C1C55">
        <w:rPr>
          <w:rFonts w:ascii="Verdana" w:hAnsi="Verdana"/>
          <w:bCs/>
          <w:sz w:val="20"/>
          <w:szCs w:val="20"/>
        </w:rPr>
        <w:t>«</w:t>
      </w:r>
      <w:r w:rsidR="00CF627D" w:rsidRPr="003C1C55">
        <w:rPr>
          <w:rFonts w:ascii="Verdana" w:hAnsi="Verdana"/>
          <w:bCs/>
          <w:sz w:val="20"/>
          <w:szCs w:val="20"/>
        </w:rPr>
        <w:t xml:space="preserve">Fecha </w:t>
      </w:r>
      <w:r w:rsidR="00081A37" w:rsidRPr="003C1C55">
        <w:rPr>
          <w:rFonts w:ascii="Verdana" w:hAnsi="Verdana"/>
          <w:bCs/>
          <w:sz w:val="20"/>
          <w:szCs w:val="20"/>
        </w:rPr>
        <w:t>g</w:t>
      </w:r>
      <w:r w:rsidR="00CF627D" w:rsidRPr="003C1C55">
        <w:rPr>
          <w:rFonts w:ascii="Verdana" w:hAnsi="Verdana"/>
          <w:bCs/>
          <w:sz w:val="20"/>
          <w:szCs w:val="20"/>
        </w:rPr>
        <w:t>arantía</w:t>
      </w:r>
      <w:r w:rsidR="00CF6C63" w:rsidRPr="003C1C55">
        <w:rPr>
          <w:rFonts w:ascii="Verdana" w:hAnsi="Verdana"/>
          <w:bCs/>
          <w:sz w:val="20"/>
          <w:szCs w:val="20"/>
        </w:rPr>
        <w:t>»</w:t>
      </w:r>
      <w:r w:rsidR="00CF627D" w:rsidRPr="003C1C55">
        <w:rPr>
          <w:rFonts w:ascii="Verdana" w:hAnsi="Verdana"/>
          <w:bCs/>
          <w:sz w:val="20"/>
          <w:szCs w:val="20"/>
        </w:rPr>
        <w:t xml:space="preserve"> se debe reportar la</w:t>
      </w:r>
      <w:r w:rsidR="002C53E4" w:rsidRPr="003C1C55">
        <w:rPr>
          <w:rFonts w:ascii="Verdana" w:hAnsi="Verdana"/>
          <w:bCs/>
          <w:sz w:val="20"/>
          <w:szCs w:val="20"/>
        </w:rPr>
        <w:t xml:space="preserve"> información que corresponda a la</w:t>
      </w:r>
      <w:r w:rsidR="00CF627D" w:rsidRPr="003C1C55">
        <w:rPr>
          <w:rFonts w:ascii="Verdana" w:hAnsi="Verdana"/>
          <w:bCs/>
          <w:sz w:val="20"/>
          <w:szCs w:val="20"/>
        </w:rPr>
        <w:t xml:space="preserve"> </w:t>
      </w:r>
      <w:r w:rsidR="00E21740" w:rsidRPr="003C1C55">
        <w:rPr>
          <w:rFonts w:ascii="Verdana" w:hAnsi="Verdana"/>
          <w:bCs/>
          <w:sz w:val="20"/>
          <w:szCs w:val="20"/>
        </w:rPr>
        <w:t>g</w:t>
      </w:r>
      <w:r w:rsidR="00CF627D" w:rsidRPr="003C1C55">
        <w:rPr>
          <w:rFonts w:ascii="Verdana" w:hAnsi="Verdana"/>
          <w:bCs/>
          <w:sz w:val="20"/>
          <w:szCs w:val="20"/>
        </w:rPr>
        <w:t xml:space="preserve">arantía de mayor cobertura. </w:t>
      </w:r>
    </w:p>
    <w:p w14:paraId="2493BBBD" w14:textId="77777777" w:rsidR="00CF627D" w:rsidRPr="00075DE0" w:rsidRDefault="00CF627D" w:rsidP="00F46874">
      <w:pPr>
        <w:pStyle w:val="Prrafodelista"/>
        <w:ind w:left="567" w:hanging="567"/>
        <w:rPr>
          <w:rFonts w:ascii="Verdana" w:hAnsi="Verdana"/>
          <w:bCs/>
          <w:sz w:val="20"/>
          <w:szCs w:val="20"/>
        </w:rPr>
      </w:pPr>
    </w:p>
    <w:p w14:paraId="52960B9D" w14:textId="0502FF7B" w:rsidR="00CF627D" w:rsidRPr="00075DE0" w:rsidRDefault="00CF627D" w:rsidP="00F46874">
      <w:pPr>
        <w:pStyle w:val="Prrafodelista"/>
        <w:numPr>
          <w:ilvl w:val="0"/>
          <w:numId w:val="10"/>
        </w:numPr>
        <w:ind w:left="567" w:hanging="567"/>
        <w:jc w:val="both"/>
        <w:outlineLvl w:val="0"/>
        <w:rPr>
          <w:rFonts w:ascii="Verdana" w:hAnsi="Verdana"/>
          <w:bCs/>
          <w:sz w:val="20"/>
          <w:szCs w:val="20"/>
        </w:rPr>
      </w:pPr>
      <w:r w:rsidRPr="00075DE0">
        <w:rPr>
          <w:rFonts w:ascii="Verdana" w:hAnsi="Verdana"/>
          <w:bCs/>
          <w:sz w:val="20"/>
          <w:szCs w:val="20"/>
        </w:rPr>
        <w:t xml:space="preserve">El campo </w:t>
      </w:r>
      <w:r w:rsidR="00E21740" w:rsidRPr="00BD40EF">
        <w:rPr>
          <w:rFonts w:ascii="Verdana" w:hAnsi="Verdana"/>
          <w:bCs/>
          <w:sz w:val="20"/>
          <w:szCs w:val="20"/>
        </w:rPr>
        <w:t>«</w:t>
      </w:r>
      <w:r w:rsidR="00546CDA">
        <w:rPr>
          <w:rFonts w:ascii="Verdana" w:hAnsi="Verdana"/>
          <w:bCs/>
          <w:sz w:val="20"/>
          <w:szCs w:val="20"/>
        </w:rPr>
        <w:t>C</w:t>
      </w:r>
      <w:r w:rsidRPr="00075DE0">
        <w:rPr>
          <w:rFonts w:ascii="Verdana" w:hAnsi="Verdana"/>
          <w:bCs/>
          <w:sz w:val="20"/>
          <w:szCs w:val="20"/>
        </w:rPr>
        <w:t xml:space="preserve">uota </w:t>
      </w:r>
      <w:r w:rsidR="00546CDA">
        <w:rPr>
          <w:rFonts w:ascii="Verdana" w:hAnsi="Verdana"/>
          <w:bCs/>
          <w:sz w:val="20"/>
          <w:szCs w:val="20"/>
        </w:rPr>
        <w:t>e</w:t>
      </w:r>
      <w:r w:rsidRPr="00075DE0">
        <w:rPr>
          <w:rFonts w:ascii="Verdana" w:hAnsi="Verdana"/>
          <w:bCs/>
          <w:sz w:val="20"/>
          <w:szCs w:val="20"/>
        </w:rPr>
        <w:t xml:space="preserve">sperada </w:t>
      </w:r>
      <w:r w:rsidR="00A8315A">
        <w:rPr>
          <w:rFonts w:ascii="Verdana" w:hAnsi="Verdana"/>
          <w:bCs/>
          <w:sz w:val="20"/>
          <w:szCs w:val="20"/>
        </w:rPr>
        <w:t xml:space="preserve">- </w:t>
      </w:r>
      <w:r w:rsidR="00546CDA">
        <w:rPr>
          <w:rFonts w:ascii="Verdana" w:hAnsi="Verdana"/>
          <w:bCs/>
          <w:sz w:val="20"/>
          <w:szCs w:val="20"/>
        </w:rPr>
        <w:t>C</w:t>
      </w:r>
      <w:r w:rsidRPr="00075DE0">
        <w:rPr>
          <w:rFonts w:ascii="Verdana" w:hAnsi="Verdana"/>
          <w:bCs/>
          <w:sz w:val="20"/>
          <w:szCs w:val="20"/>
        </w:rPr>
        <w:t>apital</w:t>
      </w:r>
      <w:r w:rsidR="00E21740" w:rsidRPr="00BD40EF">
        <w:rPr>
          <w:rFonts w:ascii="Verdana" w:hAnsi="Verdana"/>
          <w:bCs/>
          <w:sz w:val="20"/>
          <w:szCs w:val="20"/>
        </w:rPr>
        <w:t>»</w:t>
      </w:r>
      <w:r w:rsidRPr="00075DE0">
        <w:rPr>
          <w:rFonts w:ascii="Verdana" w:hAnsi="Verdana"/>
          <w:bCs/>
          <w:sz w:val="20"/>
          <w:szCs w:val="20"/>
        </w:rPr>
        <w:t xml:space="preserve"> solo aplica para la cartera activa</w:t>
      </w:r>
      <w:r w:rsidR="00E21740">
        <w:rPr>
          <w:rFonts w:ascii="Verdana" w:hAnsi="Verdana"/>
          <w:bCs/>
          <w:sz w:val="20"/>
          <w:szCs w:val="20"/>
        </w:rPr>
        <w:t xml:space="preserve"> (e</w:t>
      </w:r>
      <w:r w:rsidRPr="00075DE0">
        <w:rPr>
          <w:rFonts w:ascii="Verdana" w:hAnsi="Verdana"/>
          <w:bCs/>
          <w:sz w:val="20"/>
          <w:szCs w:val="20"/>
        </w:rPr>
        <w:t xml:space="preserve">stados: </w:t>
      </w:r>
      <w:r w:rsidR="00E71CD0" w:rsidRPr="00422DCE">
        <w:rPr>
          <w:rFonts w:ascii="Verdana" w:hAnsi="Verdana"/>
          <w:bCs/>
          <w:sz w:val="20"/>
          <w:szCs w:val="20"/>
        </w:rPr>
        <w:t>«</w:t>
      </w:r>
      <w:r w:rsidRPr="00075DE0">
        <w:rPr>
          <w:rFonts w:ascii="Verdana" w:hAnsi="Verdana"/>
          <w:bCs/>
          <w:sz w:val="20"/>
          <w:szCs w:val="20"/>
        </w:rPr>
        <w:t>Normal</w:t>
      </w:r>
      <w:r w:rsidR="00A8315A" w:rsidRPr="00BD40EF">
        <w:rPr>
          <w:rFonts w:ascii="Verdana" w:hAnsi="Verdana"/>
          <w:bCs/>
          <w:sz w:val="20"/>
          <w:szCs w:val="20"/>
        </w:rPr>
        <w:t>»</w:t>
      </w:r>
      <w:r w:rsidRPr="00075DE0">
        <w:rPr>
          <w:rFonts w:ascii="Verdana" w:hAnsi="Verdana"/>
          <w:bCs/>
          <w:sz w:val="20"/>
          <w:szCs w:val="20"/>
        </w:rPr>
        <w:t xml:space="preserve">, </w:t>
      </w:r>
      <w:r w:rsidR="00E71CD0" w:rsidRPr="00422DCE">
        <w:rPr>
          <w:rFonts w:ascii="Verdana" w:hAnsi="Verdana"/>
          <w:bCs/>
          <w:sz w:val="20"/>
          <w:szCs w:val="20"/>
        </w:rPr>
        <w:t>«</w:t>
      </w:r>
      <w:r w:rsidRPr="00075DE0">
        <w:rPr>
          <w:rFonts w:ascii="Verdana" w:hAnsi="Verdana"/>
          <w:bCs/>
          <w:sz w:val="20"/>
          <w:szCs w:val="20"/>
        </w:rPr>
        <w:t>Modificado</w:t>
      </w:r>
      <w:r w:rsidR="00A8315A" w:rsidRPr="00BD40EF">
        <w:rPr>
          <w:rFonts w:ascii="Verdana" w:hAnsi="Verdana"/>
          <w:bCs/>
          <w:sz w:val="20"/>
          <w:szCs w:val="20"/>
        </w:rPr>
        <w:t>»</w:t>
      </w:r>
      <w:r w:rsidR="00E21740">
        <w:rPr>
          <w:rFonts w:ascii="Verdana" w:hAnsi="Verdana"/>
          <w:bCs/>
          <w:sz w:val="20"/>
          <w:szCs w:val="20"/>
        </w:rPr>
        <w:t xml:space="preserve"> y</w:t>
      </w:r>
      <w:r w:rsidRPr="00075DE0">
        <w:rPr>
          <w:rFonts w:ascii="Verdana" w:hAnsi="Verdana"/>
          <w:bCs/>
          <w:sz w:val="20"/>
          <w:szCs w:val="20"/>
        </w:rPr>
        <w:t xml:space="preserve"> </w:t>
      </w:r>
      <w:r w:rsidR="00E71CD0" w:rsidRPr="00422DCE">
        <w:rPr>
          <w:rFonts w:ascii="Verdana" w:hAnsi="Verdana"/>
          <w:bCs/>
          <w:sz w:val="20"/>
          <w:szCs w:val="20"/>
        </w:rPr>
        <w:t>«</w:t>
      </w:r>
      <w:r w:rsidRPr="00075DE0">
        <w:rPr>
          <w:rFonts w:ascii="Verdana" w:hAnsi="Verdana"/>
          <w:bCs/>
          <w:sz w:val="20"/>
          <w:szCs w:val="20"/>
        </w:rPr>
        <w:t>Reestructurado</w:t>
      </w:r>
      <w:r w:rsidR="00A8315A" w:rsidRPr="00BD40EF">
        <w:rPr>
          <w:rFonts w:ascii="Verdana" w:hAnsi="Verdana"/>
          <w:bCs/>
          <w:sz w:val="20"/>
          <w:szCs w:val="20"/>
        </w:rPr>
        <w:t>»</w:t>
      </w:r>
      <w:r w:rsidRPr="00075DE0">
        <w:rPr>
          <w:rFonts w:ascii="Verdana" w:hAnsi="Verdana"/>
          <w:bCs/>
          <w:sz w:val="20"/>
          <w:szCs w:val="20"/>
        </w:rPr>
        <w:t>)</w:t>
      </w:r>
      <w:r w:rsidR="00E21740">
        <w:rPr>
          <w:rFonts w:ascii="Verdana" w:hAnsi="Verdana"/>
          <w:bCs/>
          <w:sz w:val="20"/>
          <w:szCs w:val="20"/>
        </w:rPr>
        <w:t>.</w:t>
      </w:r>
      <w:r w:rsidRPr="00075DE0">
        <w:rPr>
          <w:rFonts w:ascii="Verdana" w:hAnsi="Verdana"/>
          <w:bCs/>
          <w:sz w:val="20"/>
          <w:szCs w:val="20"/>
        </w:rPr>
        <w:t xml:space="preserve"> </w:t>
      </w:r>
    </w:p>
    <w:p w14:paraId="193D653D" w14:textId="77777777" w:rsidR="00BA076C" w:rsidRDefault="00BA076C" w:rsidP="00BA076C">
      <w:pPr>
        <w:pStyle w:val="Prrafodelista"/>
        <w:ind w:left="567"/>
        <w:jc w:val="both"/>
        <w:outlineLvl w:val="0"/>
        <w:rPr>
          <w:rFonts w:ascii="Verdana" w:hAnsi="Verdana"/>
          <w:bCs/>
          <w:sz w:val="20"/>
          <w:szCs w:val="20"/>
        </w:rPr>
      </w:pPr>
    </w:p>
    <w:p w14:paraId="5D2F7791" w14:textId="5AD4813B" w:rsidR="00660A2B" w:rsidRDefault="00CF627D" w:rsidP="00BC1503">
      <w:pPr>
        <w:pStyle w:val="Prrafodelista"/>
        <w:numPr>
          <w:ilvl w:val="0"/>
          <w:numId w:val="10"/>
        </w:numPr>
        <w:ind w:left="567" w:hanging="567"/>
        <w:jc w:val="both"/>
        <w:outlineLvl w:val="0"/>
        <w:rPr>
          <w:rFonts w:ascii="Verdana" w:hAnsi="Verdana"/>
          <w:bCs/>
          <w:sz w:val="20"/>
          <w:szCs w:val="20"/>
        </w:rPr>
      </w:pPr>
      <w:r w:rsidRPr="00660A2B">
        <w:rPr>
          <w:rFonts w:ascii="Verdana" w:hAnsi="Verdana"/>
          <w:bCs/>
          <w:sz w:val="20"/>
          <w:szCs w:val="20"/>
        </w:rPr>
        <w:t xml:space="preserve">Los estados de crédito </w:t>
      </w:r>
      <w:r w:rsidR="00A8315A" w:rsidRPr="00660A2B">
        <w:rPr>
          <w:rFonts w:ascii="Verdana" w:hAnsi="Verdana"/>
          <w:bCs/>
          <w:sz w:val="20"/>
          <w:szCs w:val="20"/>
        </w:rPr>
        <w:t>«</w:t>
      </w:r>
      <w:r w:rsidRPr="00660A2B">
        <w:rPr>
          <w:rFonts w:ascii="Verdana" w:hAnsi="Verdana"/>
          <w:bCs/>
          <w:sz w:val="20"/>
          <w:szCs w:val="20"/>
        </w:rPr>
        <w:t>Titularizada</w:t>
      </w:r>
      <w:r w:rsidR="00A8315A" w:rsidRPr="00660A2B">
        <w:rPr>
          <w:rFonts w:ascii="Verdana" w:hAnsi="Verdana"/>
          <w:bCs/>
          <w:sz w:val="20"/>
          <w:szCs w:val="20"/>
        </w:rPr>
        <w:t>»</w:t>
      </w:r>
      <w:r w:rsidRPr="00660A2B">
        <w:rPr>
          <w:rFonts w:ascii="Verdana" w:hAnsi="Verdana"/>
          <w:bCs/>
          <w:sz w:val="20"/>
          <w:szCs w:val="20"/>
        </w:rPr>
        <w:t xml:space="preserve">, </w:t>
      </w:r>
      <w:r w:rsidR="00A8315A" w:rsidRPr="00660A2B">
        <w:rPr>
          <w:rFonts w:ascii="Verdana" w:hAnsi="Verdana"/>
          <w:bCs/>
          <w:sz w:val="20"/>
          <w:szCs w:val="20"/>
        </w:rPr>
        <w:t>«</w:t>
      </w:r>
      <w:r w:rsidRPr="00660A2B">
        <w:rPr>
          <w:rFonts w:ascii="Verdana" w:hAnsi="Verdana"/>
          <w:bCs/>
          <w:sz w:val="20"/>
          <w:szCs w:val="20"/>
        </w:rPr>
        <w:t>Vendida/cedida</w:t>
      </w:r>
      <w:r w:rsidR="00A8315A" w:rsidRPr="00660A2B">
        <w:rPr>
          <w:rFonts w:ascii="Verdana" w:hAnsi="Verdana"/>
          <w:bCs/>
          <w:sz w:val="20"/>
          <w:szCs w:val="20"/>
        </w:rPr>
        <w:t>»</w:t>
      </w:r>
      <w:r w:rsidRPr="00660A2B">
        <w:rPr>
          <w:rFonts w:ascii="Verdana" w:hAnsi="Verdana"/>
          <w:bCs/>
          <w:sz w:val="20"/>
          <w:szCs w:val="20"/>
        </w:rPr>
        <w:t xml:space="preserve">, </w:t>
      </w:r>
      <w:r w:rsidR="00A8315A" w:rsidRPr="00660A2B">
        <w:rPr>
          <w:rFonts w:ascii="Verdana" w:hAnsi="Verdana"/>
          <w:bCs/>
          <w:sz w:val="20"/>
          <w:szCs w:val="20"/>
        </w:rPr>
        <w:t>«</w:t>
      </w:r>
      <w:r w:rsidRPr="00660A2B">
        <w:rPr>
          <w:rFonts w:ascii="Verdana" w:hAnsi="Verdana"/>
          <w:bCs/>
          <w:sz w:val="20"/>
          <w:szCs w:val="20"/>
        </w:rPr>
        <w:t>Recuperación</w:t>
      </w:r>
      <w:r w:rsidR="00A8315A" w:rsidRPr="00660A2B">
        <w:rPr>
          <w:rFonts w:ascii="Verdana" w:hAnsi="Verdana"/>
          <w:bCs/>
          <w:sz w:val="20"/>
          <w:szCs w:val="20"/>
        </w:rPr>
        <w:t>»</w:t>
      </w:r>
      <w:r w:rsidRPr="00660A2B">
        <w:rPr>
          <w:rFonts w:ascii="Verdana" w:hAnsi="Verdana"/>
          <w:bCs/>
          <w:sz w:val="20"/>
          <w:szCs w:val="20"/>
        </w:rPr>
        <w:t xml:space="preserve">, </w:t>
      </w:r>
      <w:r w:rsidR="00A8315A" w:rsidRPr="00660A2B">
        <w:rPr>
          <w:rFonts w:ascii="Verdana" w:hAnsi="Verdana"/>
          <w:bCs/>
          <w:sz w:val="20"/>
          <w:szCs w:val="20"/>
        </w:rPr>
        <w:t>«</w:t>
      </w:r>
      <w:r w:rsidR="000A0E08">
        <w:rPr>
          <w:rFonts w:ascii="Verdana" w:hAnsi="Verdana"/>
          <w:bCs/>
          <w:sz w:val="20"/>
          <w:szCs w:val="20"/>
        </w:rPr>
        <w:t>Pagado</w:t>
      </w:r>
      <w:r w:rsidR="00A8315A" w:rsidRPr="00660A2B">
        <w:rPr>
          <w:rFonts w:ascii="Verdana" w:hAnsi="Verdana"/>
          <w:bCs/>
          <w:sz w:val="20"/>
          <w:szCs w:val="20"/>
        </w:rPr>
        <w:t>»</w:t>
      </w:r>
      <w:r w:rsidRPr="00660A2B">
        <w:rPr>
          <w:rFonts w:ascii="Verdana" w:hAnsi="Verdana"/>
          <w:bCs/>
          <w:sz w:val="20"/>
          <w:szCs w:val="20"/>
        </w:rPr>
        <w:t xml:space="preserve">, </w:t>
      </w:r>
      <w:r w:rsidR="009D725E" w:rsidRPr="00660A2B">
        <w:rPr>
          <w:rFonts w:ascii="Verdana" w:hAnsi="Verdana"/>
          <w:bCs/>
          <w:sz w:val="20"/>
          <w:szCs w:val="20"/>
        </w:rPr>
        <w:t>«</w:t>
      </w:r>
      <w:r w:rsidRPr="00660A2B">
        <w:rPr>
          <w:rFonts w:ascii="Verdana" w:hAnsi="Verdana"/>
          <w:bCs/>
          <w:sz w:val="20"/>
          <w:szCs w:val="20"/>
        </w:rPr>
        <w:t>Consolidado</w:t>
      </w:r>
      <w:r w:rsidR="00A8315A" w:rsidRPr="00660A2B">
        <w:rPr>
          <w:rFonts w:ascii="Verdana" w:hAnsi="Verdana"/>
          <w:bCs/>
          <w:sz w:val="20"/>
          <w:szCs w:val="20"/>
        </w:rPr>
        <w:t>»</w:t>
      </w:r>
      <w:r w:rsidRPr="00660A2B">
        <w:rPr>
          <w:rFonts w:ascii="Verdana" w:hAnsi="Verdana"/>
          <w:bCs/>
          <w:sz w:val="20"/>
          <w:szCs w:val="20"/>
        </w:rPr>
        <w:t xml:space="preserve"> y </w:t>
      </w:r>
      <w:r w:rsidR="009D725E" w:rsidRPr="00660A2B">
        <w:rPr>
          <w:rFonts w:ascii="Verdana" w:hAnsi="Verdana"/>
          <w:bCs/>
          <w:sz w:val="20"/>
          <w:szCs w:val="20"/>
        </w:rPr>
        <w:t>«</w:t>
      </w:r>
      <w:r w:rsidRPr="00660A2B">
        <w:rPr>
          <w:rFonts w:ascii="Verdana" w:hAnsi="Verdana"/>
          <w:bCs/>
          <w:sz w:val="20"/>
          <w:szCs w:val="20"/>
        </w:rPr>
        <w:t>Cancelada por reexpedición</w:t>
      </w:r>
      <w:r w:rsidR="00A8315A" w:rsidRPr="00660A2B">
        <w:rPr>
          <w:rFonts w:ascii="Verdana" w:hAnsi="Verdana"/>
          <w:bCs/>
          <w:sz w:val="20"/>
          <w:szCs w:val="20"/>
        </w:rPr>
        <w:t>»</w:t>
      </w:r>
      <w:r w:rsidR="00536F02">
        <w:rPr>
          <w:rFonts w:ascii="Verdana" w:hAnsi="Verdana"/>
          <w:bCs/>
          <w:sz w:val="20"/>
          <w:szCs w:val="20"/>
        </w:rPr>
        <w:t xml:space="preserve"> del insumo </w:t>
      </w:r>
      <w:r w:rsidR="00536F02" w:rsidRPr="00BD40EF">
        <w:rPr>
          <w:rFonts w:ascii="Verdana" w:hAnsi="Verdana"/>
          <w:bCs/>
          <w:sz w:val="20"/>
          <w:szCs w:val="20"/>
        </w:rPr>
        <w:t>«</w:t>
      </w:r>
      <w:r w:rsidR="00A17CE1">
        <w:rPr>
          <w:rFonts w:ascii="Verdana" w:hAnsi="Verdana"/>
          <w:sz w:val="20"/>
          <w:szCs w:val="20"/>
        </w:rPr>
        <w:t>M</w:t>
      </w:r>
      <w:r w:rsidR="00536F02" w:rsidRPr="00BD40EF">
        <w:rPr>
          <w:rFonts w:ascii="Verdana" w:hAnsi="Verdana"/>
          <w:sz w:val="20"/>
          <w:szCs w:val="20"/>
        </w:rPr>
        <w:t>ovimientos de cartera</w:t>
      </w:r>
      <w:r w:rsidR="00536F02" w:rsidRPr="00BD40EF">
        <w:rPr>
          <w:rFonts w:ascii="Verdana" w:hAnsi="Verdana"/>
          <w:bCs/>
          <w:sz w:val="20"/>
          <w:szCs w:val="20"/>
        </w:rPr>
        <w:t>» (MURIC-001-003)</w:t>
      </w:r>
      <w:r w:rsidR="00536F02">
        <w:rPr>
          <w:rFonts w:ascii="Verdana" w:hAnsi="Verdana"/>
          <w:bCs/>
          <w:sz w:val="20"/>
          <w:szCs w:val="20"/>
        </w:rPr>
        <w:t xml:space="preserve"> </w:t>
      </w:r>
      <w:r w:rsidRPr="00660A2B">
        <w:rPr>
          <w:rFonts w:ascii="Verdana" w:hAnsi="Verdana"/>
          <w:bCs/>
          <w:sz w:val="20"/>
          <w:szCs w:val="20"/>
        </w:rPr>
        <w:t xml:space="preserve">únicamente se deben reportar en el mes de la novedad. </w:t>
      </w:r>
    </w:p>
    <w:p w14:paraId="010AEB18" w14:textId="77777777" w:rsidR="00660A2B" w:rsidRPr="00660A2B" w:rsidRDefault="00660A2B" w:rsidP="00660A2B">
      <w:pPr>
        <w:pStyle w:val="Prrafodelista"/>
        <w:rPr>
          <w:rFonts w:ascii="Verdana" w:hAnsi="Verdana"/>
          <w:bCs/>
          <w:sz w:val="20"/>
          <w:szCs w:val="20"/>
        </w:rPr>
      </w:pPr>
    </w:p>
    <w:p w14:paraId="0F249701" w14:textId="091C6BFB" w:rsidR="00CF627D" w:rsidRDefault="00CF627D" w:rsidP="00614711">
      <w:pPr>
        <w:pStyle w:val="Prrafodelista"/>
        <w:numPr>
          <w:ilvl w:val="0"/>
          <w:numId w:val="10"/>
        </w:numPr>
        <w:ind w:left="567" w:hanging="567"/>
        <w:jc w:val="both"/>
        <w:outlineLvl w:val="0"/>
        <w:rPr>
          <w:rFonts w:ascii="Verdana" w:hAnsi="Verdana"/>
          <w:bCs/>
          <w:sz w:val="20"/>
          <w:szCs w:val="20"/>
        </w:rPr>
      </w:pPr>
      <w:r w:rsidRPr="00660A2B">
        <w:rPr>
          <w:rFonts w:ascii="Verdana" w:hAnsi="Verdana"/>
          <w:bCs/>
          <w:sz w:val="20"/>
          <w:szCs w:val="20"/>
        </w:rPr>
        <w:t>Si una operación en el mismo mes tiene dos estados, se debe reportar el último estado al corte</w:t>
      </w:r>
      <w:r w:rsidR="00660A2B">
        <w:rPr>
          <w:rFonts w:ascii="Verdana" w:hAnsi="Verdana"/>
          <w:bCs/>
          <w:sz w:val="20"/>
          <w:szCs w:val="20"/>
        </w:rPr>
        <w:t>. Por</w:t>
      </w:r>
      <w:r w:rsidRPr="00660A2B">
        <w:rPr>
          <w:rFonts w:ascii="Verdana" w:hAnsi="Verdana"/>
          <w:bCs/>
          <w:sz w:val="20"/>
          <w:szCs w:val="20"/>
        </w:rPr>
        <w:t xml:space="preserve"> ejemplo, si una operación fue castigada y</w:t>
      </w:r>
      <w:r w:rsidR="00E669B7">
        <w:rPr>
          <w:rFonts w:ascii="Verdana" w:hAnsi="Verdana"/>
          <w:bCs/>
          <w:sz w:val="20"/>
          <w:szCs w:val="20"/>
        </w:rPr>
        <w:t>, posteriormente,</w:t>
      </w:r>
      <w:r w:rsidR="00577026">
        <w:rPr>
          <w:rFonts w:ascii="Verdana" w:hAnsi="Verdana"/>
          <w:bCs/>
          <w:sz w:val="20"/>
          <w:szCs w:val="20"/>
        </w:rPr>
        <w:t xml:space="preserve"> dentro del</w:t>
      </w:r>
      <w:r w:rsidRPr="00660A2B">
        <w:rPr>
          <w:rFonts w:ascii="Verdana" w:hAnsi="Verdana"/>
          <w:bCs/>
          <w:sz w:val="20"/>
          <w:szCs w:val="20"/>
        </w:rPr>
        <w:t xml:space="preserve"> mismo mes presenta algún tipo de recuperación, se debe reportar el estado </w:t>
      </w:r>
      <w:r w:rsidR="00FC1503" w:rsidRPr="00660A2B">
        <w:rPr>
          <w:rFonts w:ascii="Verdana" w:hAnsi="Verdana"/>
          <w:bCs/>
          <w:sz w:val="20"/>
          <w:szCs w:val="20"/>
        </w:rPr>
        <w:t>«Recuperación»</w:t>
      </w:r>
      <w:r w:rsidR="00FC1503">
        <w:rPr>
          <w:rFonts w:ascii="Verdana" w:hAnsi="Verdana"/>
          <w:bCs/>
          <w:sz w:val="20"/>
          <w:szCs w:val="20"/>
        </w:rPr>
        <w:t>.</w:t>
      </w:r>
    </w:p>
    <w:p w14:paraId="66211490" w14:textId="77777777" w:rsidR="00B662F1" w:rsidRPr="00A83864" w:rsidRDefault="00B662F1" w:rsidP="00A83864">
      <w:pPr>
        <w:pStyle w:val="Prrafodelista"/>
        <w:rPr>
          <w:rFonts w:ascii="Verdana" w:hAnsi="Verdana"/>
          <w:bCs/>
          <w:sz w:val="20"/>
          <w:szCs w:val="20"/>
        </w:rPr>
      </w:pPr>
    </w:p>
    <w:p w14:paraId="261DF3DC" w14:textId="5FD27066" w:rsidR="00B662F1" w:rsidRPr="00A83864" w:rsidRDefault="001D1979" w:rsidP="00614711">
      <w:pPr>
        <w:pStyle w:val="Prrafodelista"/>
        <w:numPr>
          <w:ilvl w:val="0"/>
          <w:numId w:val="10"/>
        </w:numPr>
        <w:ind w:left="567" w:hanging="567"/>
        <w:jc w:val="both"/>
        <w:outlineLvl w:val="0"/>
        <w:rPr>
          <w:rFonts w:ascii="Verdana" w:hAnsi="Verdana"/>
          <w:bCs/>
          <w:sz w:val="20"/>
          <w:szCs w:val="20"/>
        </w:rPr>
      </w:pPr>
      <w:r>
        <w:rPr>
          <w:rFonts w:ascii="Verdana" w:hAnsi="Verdana"/>
          <w:bCs/>
          <w:sz w:val="20"/>
          <w:szCs w:val="20"/>
          <w:lang w:val="es-ES"/>
        </w:rPr>
        <w:t xml:space="preserve">Las </w:t>
      </w:r>
      <w:r w:rsidR="002B7ED6">
        <w:rPr>
          <w:rFonts w:ascii="Verdana" w:hAnsi="Verdana"/>
          <w:bCs/>
          <w:sz w:val="20"/>
          <w:szCs w:val="20"/>
          <w:lang w:val="es-ES"/>
        </w:rPr>
        <w:t>instituciones oficiales especiales</w:t>
      </w:r>
      <w:r w:rsidR="002B7ED6" w:rsidRPr="00476D1E">
        <w:rPr>
          <w:rFonts w:ascii="Verdana" w:hAnsi="Verdana"/>
          <w:bCs/>
          <w:sz w:val="20"/>
          <w:szCs w:val="20"/>
          <w:lang w:val="es-ES"/>
        </w:rPr>
        <w:t xml:space="preserve"> </w:t>
      </w:r>
      <w:r w:rsidR="00F61B33">
        <w:rPr>
          <w:rFonts w:ascii="Verdana" w:hAnsi="Verdana"/>
          <w:bCs/>
          <w:sz w:val="20"/>
          <w:szCs w:val="20"/>
          <w:lang w:val="es-ES"/>
        </w:rPr>
        <w:t xml:space="preserve">de segundo piso </w:t>
      </w:r>
      <w:r w:rsidR="00476D1E" w:rsidRPr="00476D1E">
        <w:rPr>
          <w:rFonts w:ascii="Verdana" w:hAnsi="Verdana"/>
          <w:bCs/>
          <w:sz w:val="20"/>
          <w:szCs w:val="20"/>
          <w:lang w:val="es-ES"/>
        </w:rPr>
        <w:t>que realicen operaciones de redescuento deben reportar las operaciones activas de crédito consolidadas por intermediario (bancos, corporaciones financieras, etcétera). Si existen operaciones de primer piso,</w:t>
      </w:r>
      <w:r w:rsidR="00F21174">
        <w:rPr>
          <w:rFonts w:ascii="Verdana" w:hAnsi="Verdana"/>
          <w:bCs/>
          <w:sz w:val="20"/>
          <w:szCs w:val="20"/>
          <w:lang w:val="es-ES"/>
        </w:rPr>
        <w:t xml:space="preserve"> es decir, operaciones colocadas directamente a los deudores finales</w:t>
      </w:r>
      <w:r w:rsidR="007B7725">
        <w:rPr>
          <w:rFonts w:ascii="Verdana" w:hAnsi="Verdana"/>
          <w:bCs/>
          <w:sz w:val="20"/>
          <w:szCs w:val="20"/>
          <w:lang w:val="es-ES"/>
        </w:rPr>
        <w:t>,</w:t>
      </w:r>
      <w:r w:rsidR="00476D1E" w:rsidRPr="00476D1E">
        <w:rPr>
          <w:rFonts w:ascii="Verdana" w:hAnsi="Verdana"/>
          <w:bCs/>
          <w:sz w:val="20"/>
          <w:szCs w:val="20"/>
          <w:lang w:val="es-ES"/>
        </w:rPr>
        <w:t xml:space="preserve"> el reporte</w:t>
      </w:r>
      <w:r w:rsidR="006076DD">
        <w:rPr>
          <w:rFonts w:ascii="Verdana" w:hAnsi="Verdana"/>
          <w:bCs/>
          <w:sz w:val="20"/>
          <w:szCs w:val="20"/>
          <w:lang w:val="es-ES"/>
        </w:rPr>
        <w:t xml:space="preserve"> de estas operaciones</w:t>
      </w:r>
      <w:r w:rsidR="00476D1E" w:rsidRPr="00476D1E">
        <w:rPr>
          <w:rFonts w:ascii="Verdana" w:hAnsi="Verdana"/>
          <w:bCs/>
          <w:sz w:val="20"/>
          <w:szCs w:val="20"/>
          <w:lang w:val="es-ES"/>
        </w:rPr>
        <w:t xml:space="preserve"> se debe realizar de manera individual de acuerdo </w:t>
      </w:r>
      <w:r w:rsidR="00762971">
        <w:rPr>
          <w:rFonts w:ascii="Verdana" w:hAnsi="Verdana"/>
          <w:bCs/>
          <w:sz w:val="20"/>
          <w:szCs w:val="20"/>
          <w:lang w:val="es-ES"/>
        </w:rPr>
        <w:t xml:space="preserve">con </w:t>
      </w:r>
      <w:r w:rsidR="00B25CFF">
        <w:rPr>
          <w:rFonts w:ascii="Verdana" w:hAnsi="Verdana"/>
          <w:bCs/>
          <w:sz w:val="20"/>
          <w:szCs w:val="20"/>
          <w:lang w:val="es-ES"/>
        </w:rPr>
        <w:t>las instrucciones d</w:t>
      </w:r>
      <w:r w:rsidR="00762971">
        <w:rPr>
          <w:rFonts w:ascii="Verdana" w:hAnsi="Verdana"/>
          <w:bCs/>
          <w:sz w:val="20"/>
          <w:szCs w:val="20"/>
          <w:lang w:val="es-ES"/>
        </w:rPr>
        <w:t xml:space="preserve">el presente documento. </w:t>
      </w:r>
    </w:p>
    <w:p w14:paraId="6272CE8B" w14:textId="77777777" w:rsidR="00817A2F" w:rsidRPr="00A83864" w:rsidRDefault="00817A2F" w:rsidP="00A83864">
      <w:pPr>
        <w:pStyle w:val="Prrafodelista"/>
        <w:rPr>
          <w:rFonts w:ascii="Verdana" w:hAnsi="Verdana"/>
          <w:bCs/>
          <w:sz w:val="20"/>
          <w:szCs w:val="20"/>
        </w:rPr>
      </w:pPr>
    </w:p>
    <w:p w14:paraId="263F493F" w14:textId="3EC4EC38" w:rsidR="00720AA8" w:rsidRPr="00401D94" w:rsidRDefault="0077649F" w:rsidP="00401D94">
      <w:pPr>
        <w:pStyle w:val="Prrafodelista"/>
        <w:numPr>
          <w:ilvl w:val="0"/>
          <w:numId w:val="10"/>
        </w:numPr>
        <w:ind w:left="567" w:hanging="567"/>
        <w:jc w:val="both"/>
        <w:outlineLvl w:val="0"/>
        <w:rPr>
          <w:rFonts w:ascii="Verdana" w:hAnsi="Verdana"/>
          <w:bCs/>
          <w:sz w:val="20"/>
          <w:szCs w:val="20"/>
        </w:rPr>
      </w:pPr>
      <w:r>
        <w:rPr>
          <w:rFonts w:ascii="Verdana" w:hAnsi="Verdana"/>
          <w:bCs/>
          <w:sz w:val="20"/>
          <w:szCs w:val="20"/>
        </w:rPr>
        <w:t xml:space="preserve">Los fondos de garantía </w:t>
      </w:r>
      <w:r w:rsidR="002A156A">
        <w:rPr>
          <w:rFonts w:ascii="Verdana" w:hAnsi="Verdana"/>
          <w:bCs/>
          <w:sz w:val="20"/>
          <w:szCs w:val="20"/>
        </w:rPr>
        <w:t xml:space="preserve">vigilados por la SFC obligados al reporte del MURIC </w:t>
      </w:r>
      <w:r>
        <w:rPr>
          <w:rFonts w:ascii="Verdana" w:hAnsi="Verdana"/>
          <w:bCs/>
          <w:sz w:val="20"/>
          <w:szCs w:val="20"/>
        </w:rPr>
        <w:t xml:space="preserve">deben reportar las operaciones </w:t>
      </w:r>
      <w:r w:rsidR="00487047">
        <w:rPr>
          <w:rFonts w:ascii="Verdana" w:hAnsi="Verdana"/>
          <w:bCs/>
          <w:sz w:val="20"/>
          <w:szCs w:val="20"/>
        </w:rPr>
        <w:t>en las que son acreedores,</w:t>
      </w:r>
      <w:r w:rsidR="00BA00E3">
        <w:rPr>
          <w:rFonts w:ascii="Verdana" w:hAnsi="Verdana"/>
          <w:bCs/>
          <w:sz w:val="20"/>
          <w:szCs w:val="20"/>
        </w:rPr>
        <w:t xml:space="preserve"> a saber:</w:t>
      </w:r>
      <w:r w:rsidR="00487047">
        <w:rPr>
          <w:rFonts w:ascii="Verdana" w:hAnsi="Verdana"/>
          <w:bCs/>
          <w:sz w:val="20"/>
          <w:szCs w:val="20"/>
        </w:rPr>
        <w:t xml:space="preserve"> </w:t>
      </w:r>
      <w:r w:rsidR="00D26678">
        <w:rPr>
          <w:rFonts w:ascii="Verdana" w:hAnsi="Verdana"/>
          <w:bCs/>
          <w:sz w:val="20"/>
          <w:szCs w:val="20"/>
        </w:rPr>
        <w:t>(i)</w:t>
      </w:r>
      <w:r w:rsidR="00401D94">
        <w:rPr>
          <w:rFonts w:ascii="Verdana" w:hAnsi="Verdana"/>
          <w:bCs/>
          <w:sz w:val="20"/>
          <w:szCs w:val="20"/>
        </w:rPr>
        <w:t xml:space="preserve"> </w:t>
      </w:r>
      <w:r w:rsidR="00FB2F39">
        <w:rPr>
          <w:rFonts w:ascii="Verdana" w:hAnsi="Verdana"/>
          <w:bCs/>
          <w:sz w:val="20"/>
          <w:szCs w:val="20"/>
        </w:rPr>
        <w:t>las operaciones de crédito directo</w:t>
      </w:r>
      <w:r w:rsidR="00C4462B">
        <w:rPr>
          <w:rFonts w:ascii="Verdana" w:hAnsi="Verdana"/>
          <w:bCs/>
          <w:sz w:val="20"/>
          <w:szCs w:val="20"/>
        </w:rPr>
        <w:t xml:space="preserve"> que tengan autorizadas de acuerdo con las normas aplicables</w:t>
      </w:r>
      <w:r w:rsidR="00401D94">
        <w:rPr>
          <w:rFonts w:ascii="Verdana" w:hAnsi="Verdana"/>
          <w:bCs/>
          <w:sz w:val="20"/>
          <w:szCs w:val="20"/>
        </w:rPr>
        <w:t>;</w:t>
      </w:r>
      <w:r w:rsidR="00D26678">
        <w:rPr>
          <w:rFonts w:ascii="Verdana" w:hAnsi="Verdana"/>
          <w:bCs/>
          <w:sz w:val="20"/>
          <w:szCs w:val="20"/>
        </w:rPr>
        <w:t xml:space="preserve"> y (ii) </w:t>
      </w:r>
      <w:r w:rsidR="00C4462B">
        <w:rPr>
          <w:rFonts w:ascii="Verdana" w:hAnsi="Verdana"/>
          <w:bCs/>
          <w:sz w:val="20"/>
          <w:szCs w:val="20"/>
        </w:rPr>
        <w:t>las originadas en la subrogación de operaciones garantizadas.</w:t>
      </w:r>
    </w:p>
    <w:p w14:paraId="44C426A2" w14:textId="37633748" w:rsidR="00720AA8" w:rsidRPr="00401D94" w:rsidRDefault="00720AA8" w:rsidP="00401D94">
      <w:pPr>
        <w:ind w:left="567"/>
        <w:jc w:val="both"/>
        <w:outlineLvl w:val="0"/>
        <w:rPr>
          <w:rFonts w:ascii="Verdana" w:hAnsi="Verdana"/>
          <w:sz w:val="20"/>
          <w:szCs w:val="20"/>
        </w:rPr>
      </w:pPr>
      <w:r>
        <w:rPr>
          <w:rFonts w:ascii="Verdana" w:hAnsi="Verdana" w:cs="Arial"/>
          <w:sz w:val="20"/>
          <w:szCs w:val="20"/>
        </w:rPr>
        <w:t xml:space="preserve">Este reporte </w:t>
      </w:r>
      <w:r>
        <w:rPr>
          <w:rFonts w:ascii="Verdana" w:hAnsi="Verdana"/>
          <w:bCs/>
          <w:sz w:val="20"/>
          <w:szCs w:val="20"/>
        </w:rPr>
        <w:t xml:space="preserve">sólo debe incluir las variables y atributos que se establezcan como obligatorios para estas entidades en la sección de </w:t>
      </w:r>
      <w:r w:rsidRPr="00DC33A1">
        <w:rPr>
          <w:rFonts w:ascii="Verdana" w:hAnsi="Verdana"/>
          <w:sz w:val="20"/>
          <w:szCs w:val="20"/>
        </w:rPr>
        <w:t>«</w:t>
      </w:r>
      <w:r>
        <w:rPr>
          <w:rFonts w:ascii="Verdana" w:hAnsi="Verdana"/>
          <w:bCs/>
          <w:sz w:val="20"/>
          <w:szCs w:val="20"/>
        </w:rPr>
        <w:t>Datos de los insumos de captura</w:t>
      </w:r>
      <w:r w:rsidRPr="00DC33A1">
        <w:rPr>
          <w:rFonts w:ascii="Verdana" w:hAnsi="Verdana"/>
          <w:sz w:val="20"/>
          <w:szCs w:val="20"/>
        </w:rPr>
        <w:t>»</w:t>
      </w:r>
      <w:r>
        <w:rPr>
          <w:rFonts w:ascii="Verdana" w:hAnsi="Verdana"/>
          <w:sz w:val="20"/>
          <w:szCs w:val="20"/>
        </w:rPr>
        <w:t xml:space="preserve"> del presente documento. </w:t>
      </w:r>
      <w:r w:rsidRPr="00FA1A48">
        <w:rPr>
          <w:rFonts w:ascii="Verdana" w:hAnsi="Verdana"/>
          <w:sz w:val="20"/>
          <w:szCs w:val="20"/>
        </w:rPr>
        <w:t xml:space="preserve">Las demás variables y atributos serán de reporte voluntario.  </w:t>
      </w:r>
    </w:p>
    <w:p w14:paraId="0EC147B8" w14:textId="77777777" w:rsidR="00227F7D" w:rsidRPr="00A83864" w:rsidRDefault="00227F7D" w:rsidP="00A83864">
      <w:pPr>
        <w:pStyle w:val="Prrafodelista"/>
        <w:rPr>
          <w:rFonts w:ascii="Verdana" w:hAnsi="Verdana"/>
          <w:bCs/>
          <w:sz w:val="20"/>
          <w:szCs w:val="20"/>
        </w:rPr>
      </w:pPr>
    </w:p>
    <w:p w14:paraId="6BD7ED10" w14:textId="45DB4C99" w:rsidR="008D0215" w:rsidRDefault="008D0215" w:rsidP="00FF7042">
      <w:pPr>
        <w:pStyle w:val="Prrafodelista"/>
        <w:numPr>
          <w:ilvl w:val="0"/>
          <w:numId w:val="10"/>
        </w:numPr>
        <w:ind w:left="567" w:hanging="567"/>
        <w:jc w:val="both"/>
        <w:outlineLvl w:val="0"/>
        <w:rPr>
          <w:rFonts w:ascii="Verdana" w:hAnsi="Verdana"/>
          <w:bCs/>
          <w:sz w:val="20"/>
          <w:szCs w:val="20"/>
        </w:rPr>
      </w:pPr>
      <w:r>
        <w:rPr>
          <w:rFonts w:ascii="Verdana" w:hAnsi="Verdana"/>
          <w:bCs/>
          <w:sz w:val="20"/>
          <w:szCs w:val="20"/>
        </w:rPr>
        <w:t xml:space="preserve">Para </w:t>
      </w:r>
      <w:r w:rsidR="005273AB">
        <w:rPr>
          <w:rFonts w:ascii="Verdana" w:hAnsi="Verdana"/>
          <w:bCs/>
          <w:sz w:val="20"/>
          <w:szCs w:val="20"/>
        </w:rPr>
        <w:t>definir</w:t>
      </w:r>
      <w:r>
        <w:rPr>
          <w:rFonts w:ascii="Verdana" w:hAnsi="Verdana"/>
          <w:bCs/>
          <w:sz w:val="20"/>
          <w:szCs w:val="20"/>
        </w:rPr>
        <w:t xml:space="preserve"> </w:t>
      </w:r>
      <w:r w:rsidR="005322A7">
        <w:rPr>
          <w:rFonts w:ascii="Verdana" w:hAnsi="Verdana"/>
          <w:bCs/>
          <w:sz w:val="20"/>
          <w:szCs w:val="20"/>
        </w:rPr>
        <w:t xml:space="preserve">quién es la parte obligada en las </w:t>
      </w:r>
      <w:r>
        <w:rPr>
          <w:rFonts w:ascii="Verdana" w:hAnsi="Verdana"/>
          <w:bCs/>
          <w:sz w:val="20"/>
          <w:szCs w:val="20"/>
        </w:rPr>
        <w:t xml:space="preserve">operaciones de </w:t>
      </w:r>
      <w:r w:rsidR="005322A7" w:rsidRPr="00A83864">
        <w:rPr>
          <w:rFonts w:ascii="Verdana" w:hAnsi="Verdana"/>
          <w:bCs/>
          <w:i/>
          <w:iCs/>
          <w:sz w:val="20"/>
          <w:szCs w:val="20"/>
        </w:rPr>
        <w:t>factoring</w:t>
      </w:r>
      <w:r w:rsidR="005322A7">
        <w:rPr>
          <w:rFonts w:ascii="Verdana" w:hAnsi="Verdana"/>
          <w:bCs/>
          <w:sz w:val="20"/>
          <w:szCs w:val="20"/>
        </w:rPr>
        <w:t xml:space="preserve">, se debe </w:t>
      </w:r>
      <w:r w:rsidR="005273AB">
        <w:rPr>
          <w:rFonts w:ascii="Verdana" w:hAnsi="Verdana"/>
          <w:bCs/>
          <w:sz w:val="20"/>
          <w:szCs w:val="20"/>
        </w:rPr>
        <w:t>establecer si la operación corresponde a un</w:t>
      </w:r>
      <w:r w:rsidR="00A42B5E">
        <w:rPr>
          <w:rFonts w:ascii="Verdana" w:hAnsi="Verdana"/>
          <w:bCs/>
          <w:sz w:val="20"/>
          <w:szCs w:val="20"/>
        </w:rPr>
        <w:t xml:space="preserve"> contrato de</w:t>
      </w:r>
      <w:r w:rsidR="005273AB">
        <w:rPr>
          <w:rFonts w:ascii="Verdana" w:hAnsi="Verdana"/>
          <w:bCs/>
          <w:sz w:val="20"/>
          <w:szCs w:val="20"/>
        </w:rPr>
        <w:t xml:space="preserve"> </w:t>
      </w:r>
      <w:r w:rsidR="005273AB" w:rsidRPr="00A83864">
        <w:rPr>
          <w:rFonts w:ascii="Verdana" w:hAnsi="Verdana"/>
          <w:bCs/>
          <w:i/>
          <w:iCs/>
          <w:sz w:val="20"/>
          <w:szCs w:val="20"/>
        </w:rPr>
        <w:t>factoring</w:t>
      </w:r>
      <w:r w:rsidR="005273AB">
        <w:rPr>
          <w:rFonts w:ascii="Verdana" w:hAnsi="Verdana"/>
          <w:bCs/>
          <w:sz w:val="20"/>
          <w:szCs w:val="20"/>
        </w:rPr>
        <w:t xml:space="preserve"> con recurso o sin recurso. </w:t>
      </w:r>
      <w:r w:rsidRPr="00A83864">
        <w:rPr>
          <w:rFonts w:ascii="Verdana" w:hAnsi="Verdana"/>
          <w:bCs/>
          <w:sz w:val="20"/>
          <w:szCs w:val="20"/>
        </w:rPr>
        <w:t xml:space="preserve">Así las cosas, para las operaciones </w:t>
      </w:r>
      <w:r w:rsidR="002C43B6">
        <w:rPr>
          <w:rFonts w:ascii="Verdana" w:hAnsi="Verdana"/>
          <w:bCs/>
          <w:sz w:val="20"/>
          <w:szCs w:val="20"/>
        </w:rPr>
        <w:t xml:space="preserve">con </w:t>
      </w:r>
      <w:r w:rsidRPr="00A83864">
        <w:rPr>
          <w:rFonts w:ascii="Verdana" w:hAnsi="Verdana"/>
          <w:bCs/>
          <w:sz w:val="20"/>
          <w:szCs w:val="20"/>
        </w:rPr>
        <w:t>recurso, el reporte debe considerar al proveedor</w:t>
      </w:r>
      <w:r w:rsidR="004F5CBF">
        <w:rPr>
          <w:rFonts w:ascii="Verdana" w:hAnsi="Verdana"/>
          <w:bCs/>
          <w:sz w:val="20"/>
          <w:szCs w:val="20"/>
        </w:rPr>
        <w:t xml:space="preserve"> cedente como obligado</w:t>
      </w:r>
      <w:r w:rsidRPr="00A83864">
        <w:rPr>
          <w:rFonts w:ascii="Verdana" w:hAnsi="Verdana"/>
          <w:bCs/>
          <w:sz w:val="20"/>
          <w:szCs w:val="20"/>
        </w:rPr>
        <w:t xml:space="preserve"> de la operación, dado que es el encargado de responder ante la entidad en última instancia.</w:t>
      </w:r>
      <w:r w:rsidR="00FF7042">
        <w:rPr>
          <w:rFonts w:ascii="Verdana" w:hAnsi="Verdana"/>
          <w:bCs/>
          <w:sz w:val="20"/>
          <w:szCs w:val="20"/>
        </w:rPr>
        <w:t xml:space="preserve"> </w:t>
      </w:r>
      <w:r w:rsidRPr="00A83864">
        <w:rPr>
          <w:rFonts w:ascii="Verdana" w:hAnsi="Verdana"/>
          <w:bCs/>
          <w:sz w:val="20"/>
          <w:szCs w:val="20"/>
        </w:rPr>
        <w:t xml:space="preserve">Por su parte, en las operaciones sin recurso, el obligado es el pagador de la factura, de forma que el reporte debe considerar a este obligado como fuente de riesgo de crédito. </w:t>
      </w:r>
    </w:p>
    <w:p w14:paraId="7D5B425A" w14:textId="77777777" w:rsidR="00444520" w:rsidRPr="00A83864" w:rsidRDefault="00444520" w:rsidP="00A83864">
      <w:pPr>
        <w:pStyle w:val="Prrafodelista"/>
        <w:rPr>
          <w:rFonts w:ascii="Verdana" w:hAnsi="Verdana"/>
          <w:bCs/>
          <w:sz w:val="20"/>
          <w:szCs w:val="20"/>
        </w:rPr>
      </w:pPr>
    </w:p>
    <w:p w14:paraId="0ED0DA81" w14:textId="10709EF3" w:rsidR="00444520" w:rsidRDefault="00735F03" w:rsidP="00FF7042">
      <w:pPr>
        <w:pStyle w:val="Prrafodelista"/>
        <w:numPr>
          <w:ilvl w:val="0"/>
          <w:numId w:val="10"/>
        </w:numPr>
        <w:ind w:left="567" w:hanging="567"/>
        <w:jc w:val="both"/>
        <w:outlineLvl w:val="0"/>
        <w:rPr>
          <w:rFonts w:ascii="Verdana" w:hAnsi="Verdana"/>
          <w:bCs/>
          <w:sz w:val="20"/>
          <w:szCs w:val="20"/>
        </w:rPr>
      </w:pPr>
      <w:r>
        <w:rPr>
          <w:rFonts w:ascii="Verdana" w:hAnsi="Verdana"/>
          <w:bCs/>
          <w:sz w:val="20"/>
          <w:szCs w:val="20"/>
        </w:rPr>
        <w:t xml:space="preserve">El reporte de los diferentes insumos del MURIC </w:t>
      </w:r>
      <w:r w:rsidR="00751360">
        <w:rPr>
          <w:rFonts w:ascii="Verdana" w:hAnsi="Verdana"/>
          <w:bCs/>
          <w:sz w:val="20"/>
          <w:szCs w:val="20"/>
        </w:rPr>
        <w:t xml:space="preserve">debe contar con la firma del represente legal de la entidad reportante. </w:t>
      </w:r>
    </w:p>
    <w:p w14:paraId="4178E525" w14:textId="77777777" w:rsidR="00751360" w:rsidRPr="00A83864" w:rsidRDefault="00751360" w:rsidP="00A83864">
      <w:pPr>
        <w:pStyle w:val="Prrafodelista"/>
        <w:rPr>
          <w:rFonts w:ascii="Verdana" w:hAnsi="Verdana"/>
          <w:bCs/>
          <w:sz w:val="20"/>
          <w:szCs w:val="20"/>
        </w:rPr>
      </w:pPr>
    </w:p>
    <w:p w14:paraId="28E0E519" w14:textId="470D03C0" w:rsidR="003223D7" w:rsidRPr="003C1C55" w:rsidRDefault="000E0906" w:rsidP="003223D7">
      <w:pPr>
        <w:pStyle w:val="Prrafodelista"/>
        <w:numPr>
          <w:ilvl w:val="0"/>
          <w:numId w:val="10"/>
        </w:numPr>
        <w:ind w:left="567" w:hanging="567"/>
        <w:jc w:val="both"/>
        <w:outlineLvl w:val="0"/>
        <w:rPr>
          <w:rFonts w:ascii="Verdana" w:hAnsi="Verdana"/>
          <w:bCs/>
          <w:sz w:val="20"/>
          <w:szCs w:val="20"/>
        </w:rPr>
      </w:pPr>
      <w:r>
        <w:rPr>
          <w:rFonts w:ascii="Verdana" w:hAnsi="Verdana"/>
          <w:bCs/>
          <w:sz w:val="20"/>
          <w:szCs w:val="20"/>
        </w:rPr>
        <w:t xml:space="preserve">Las entidades </w:t>
      </w:r>
      <w:r w:rsidR="005E3655">
        <w:rPr>
          <w:rFonts w:ascii="Verdana" w:hAnsi="Verdana"/>
          <w:bCs/>
          <w:sz w:val="20"/>
          <w:szCs w:val="20"/>
        </w:rPr>
        <w:t>reportantes</w:t>
      </w:r>
      <w:r>
        <w:rPr>
          <w:rFonts w:ascii="Verdana" w:hAnsi="Verdana"/>
          <w:bCs/>
          <w:sz w:val="20"/>
          <w:szCs w:val="20"/>
        </w:rPr>
        <w:t xml:space="preserve"> </w:t>
      </w:r>
      <w:r w:rsidR="005E3655">
        <w:rPr>
          <w:rFonts w:ascii="Verdana" w:hAnsi="Verdana"/>
          <w:bCs/>
          <w:sz w:val="20"/>
          <w:szCs w:val="20"/>
        </w:rPr>
        <w:t xml:space="preserve">que no estén obligadas a la aplicación de las instrucciones </w:t>
      </w:r>
      <w:r w:rsidR="005A235E">
        <w:rPr>
          <w:rFonts w:ascii="Verdana" w:hAnsi="Verdana"/>
          <w:bCs/>
          <w:sz w:val="20"/>
          <w:szCs w:val="20"/>
        </w:rPr>
        <w:t xml:space="preserve">relacionadas con la gestión del riesgo de crédito de las partes 2 y 3 </w:t>
      </w:r>
      <w:r w:rsidR="003C7EB1">
        <w:rPr>
          <w:rFonts w:ascii="Verdana" w:hAnsi="Verdana"/>
          <w:bCs/>
          <w:sz w:val="20"/>
          <w:szCs w:val="20"/>
        </w:rPr>
        <w:t>de</w:t>
      </w:r>
      <w:r w:rsidR="00CE496E">
        <w:rPr>
          <w:rFonts w:ascii="Verdana" w:hAnsi="Verdana"/>
          <w:bCs/>
          <w:sz w:val="20"/>
          <w:szCs w:val="20"/>
        </w:rPr>
        <w:t xml:space="preserve">l capítulo XXXI </w:t>
      </w:r>
      <w:r w:rsidR="002D6E8B">
        <w:rPr>
          <w:rFonts w:ascii="Verdana" w:hAnsi="Verdana"/>
          <w:bCs/>
          <w:sz w:val="20"/>
          <w:szCs w:val="20"/>
        </w:rPr>
        <w:t xml:space="preserve">SIAR </w:t>
      </w:r>
      <w:r w:rsidR="00CE496E">
        <w:rPr>
          <w:rFonts w:ascii="Verdana" w:hAnsi="Verdana"/>
          <w:bCs/>
          <w:sz w:val="20"/>
          <w:szCs w:val="20"/>
        </w:rPr>
        <w:t>de la CBCF no deben reportar las variables relacionas con las provisiones y c</w:t>
      </w:r>
      <w:r w:rsidR="0065480D">
        <w:rPr>
          <w:rFonts w:ascii="Verdana" w:hAnsi="Verdana"/>
          <w:bCs/>
          <w:sz w:val="20"/>
          <w:szCs w:val="20"/>
        </w:rPr>
        <w:t>alificaciones mencionadas en</w:t>
      </w:r>
      <w:r w:rsidR="00D75E0C">
        <w:rPr>
          <w:rFonts w:ascii="Verdana" w:hAnsi="Verdana"/>
          <w:bCs/>
          <w:sz w:val="20"/>
          <w:szCs w:val="20"/>
        </w:rPr>
        <w:t xml:space="preserve"> dichas instrucciones. </w:t>
      </w:r>
      <w:r w:rsidR="00336B66">
        <w:rPr>
          <w:rFonts w:ascii="Verdana" w:hAnsi="Verdana"/>
          <w:bCs/>
          <w:sz w:val="20"/>
          <w:szCs w:val="20"/>
        </w:rPr>
        <w:t xml:space="preserve">En todo caso, estas entidades deben reportar el deterioro </w:t>
      </w:r>
      <w:r w:rsidR="00864F76">
        <w:rPr>
          <w:rFonts w:ascii="Verdana" w:hAnsi="Verdana"/>
          <w:bCs/>
          <w:sz w:val="20"/>
          <w:szCs w:val="20"/>
        </w:rPr>
        <w:t xml:space="preserve">y las calificaciones que utilicen en cumplimiento de otro tipo de disposiciones normativas, o </w:t>
      </w:r>
      <w:r w:rsidR="004F23E8">
        <w:rPr>
          <w:rFonts w:ascii="Verdana" w:hAnsi="Verdana"/>
          <w:bCs/>
          <w:sz w:val="20"/>
          <w:szCs w:val="20"/>
        </w:rPr>
        <w:t xml:space="preserve">establecidas </w:t>
      </w:r>
      <w:r w:rsidR="00864F76">
        <w:rPr>
          <w:rFonts w:ascii="Verdana" w:hAnsi="Verdana"/>
          <w:bCs/>
          <w:sz w:val="20"/>
          <w:szCs w:val="20"/>
        </w:rPr>
        <w:t>bajo su política contable.</w:t>
      </w:r>
    </w:p>
    <w:p w14:paraId="22C2DE8F" w14:textId="77777777" w:rsidR="003223D7" w:rsidRDefault="003223D7" w:rsidP="003C1C55">
      <w:pPr>
        <w:pStyle w:val="Prrafodelista"/>
        <w:ind w:left="567"/>
        <w:jc w:val="both"/>
        <w:outlineLvl w:val="0"/>
        <w:rPr>
          <w:rFonts w:ascii="Verdana" w:hAnsi="Verdana"/>
          <w:bCs/>
          <w:sz w:val="20"/>
          <w:szCs w:val="20"/>
        </w:rPr>
      </w:pPr>
    </w:p>
    <w:p w14:paraId="0CAC821A" w14:textId="40AE3275" w:rsidR="00817A2F" w:rsidRPr="003C1C55" w:rsidRDefault="00A44D8E" w:rsidP="003C1C55">
      <w:pPr>
        <w:pStyle w:val="Prrafodelista"/>
        <w:numPr>
          <w:ilvl w:val="0"/>
          <w:numId w:val="10"/>
        </w:numPr>
        <w:ind w:left="567" w:hanging="567"/>
        <w:jc w:val="both"/>
        <w:rPr>
          <w:rFonts w:ascii="Verdana" w:hAnsi="Verdana"/>
          <w:bCs/>
          <w:sz w:val="20"/>
          <w:szCs w:val="20"/>
        </w:rPr>
      </w:pPr>
      <w:r w:rsidRPr="003C1C55">
        <w:rPr>
          <w:rFonts w:ascii="Verdana" w:hAnsi="Verdana"/>
          <w:bCs/>
          <w:sz w:val="20"/>
          <w:szCs w:val="20"/>
        </w:rPr>
        <w:t>Para el caso de las operaciones de crédito de consumo de bajo monto, en los términos del artículo 2.1.16.1.1 del Decreto 2555 de 2010,</w:t>
      </w:r>
      <w:r w:rsidR="00377F12" w:rsidRPr="00377F12">
        <w:t xml:space="preserve"> </w:t>
      </w:r>
      <w:r w:rsidR="00377F12" w:rsidRPr="00377F12">
        <w:rPr>
          <w:rFonts w:ascii="Verdana" w:hAnsi="Verdana"/>
          <w:bCs/>
          <w:sz w:val="20"/>
          <w:szCs w:val="20"/>
        </w:rPr>
        <w:t xml:space="preserve">en el insumo «Atributos de los créditos y deudores» (MURIC-001-002) </w:t>
      </w:r>
      <w:r w:rsidR="00554623">
        <w:rPr>
          <w:rFonts w:ascii="Verdana" w:hAnsi="Verdana"/>
          <w:bCs/>
          <w:sz w:val="20"/>
          <w:szCs w:val="20"/>
        </w:rPr>
        <w:t xml:space="preserve">las entidades </w:t>
      </w:r>
      <w:r w:rsidRPr="003C1C55">
        <w:rPr>
          <w:rFonts w:ascii="Verdana" w:hAnsi="Verdana"/>
          <w:bCs/>
          <w:sz w:val="20"/>
          <w:szCs w:val="20"/>
        </w:rPr>
        <w:t>debe</w:t>
      </w:r>
      <w:r w:rsidR="00554623">
        <w:rPr>
          <w:rFonts w:ascii="Verdana" w:hAnsi="Verdana"/>
          <w:bCs/>
          <w:sz w:val="20"/>
          <w:szCs w:val="20"/>
        </w:rPr>
        <w:t>n</w:t>
      </w:r>
      <w:r w:rsidRPr="003C1C55">
        <w:rPr>
          <w:rFonts w:ascii="Verdana" w:hAnsi="Verdana"/>
          <w:bCs/>
          <w:sz w:val="20"/>
          <w:szCs w:val="20"/>
        </w:rPr>
        <w:t xml:space="preserve"> reportar</w:t>
      </w:r>
      <w:r w:rsidR="00377F12">
        <w:rPr>
          <w:rFonts w:ascii="Verdana" w:hAnsi="Verdana"/>
          <w:bCs/>
          <w:sz w:val="20"/>
          <w:szCs w:val="20"/>
        </w:rPr>
        <w:t xml:space="preserve"> </w:t>
      </w:r>
      <w:r w:rsidRPr="003C1C55">
        <w:rPr>
          <w:rFonts w:ascii="Verdana" w:hAnsi="Verdana"/>
          <w:bCs/>
          <w:sz w:val="20"/>
          <w:szCs w:val="20"/>
        </w:rPr>
        <w:t xml:space="preserve">únicamente la información correspondiente a los atributos señalados en la tabla </w:t>
      </w:r>
      <w:r w:rsidR="00584207">
        <w:rPr>
          <w:rFonts w:ascii="Verdana" w:hAnsi="Verdana"/>
          <w:bCs/>
          <w:sz w:val="20"/>
          <w:szCs w:val="20"/>
        </w:rPr>
        <w:t>MURIC de</w:t>
      </w:r>
      <w:r w:rsidRPr="003C1C55">
        <w:rPr>
          <w:rFonts w:ascii="Verdana" w:hAnsi="Verdana"/>
          <w:bCs/>
          <w:sz w:val="20"/>
          <w:szCs w:val="20"/>
        </w:rPr>
        <w:t xml:space="preserve"> </w:t>
      </w:r>
      <w:r w:rsidR="00377F12" w:rsidRPr="00377F12">
        <w:rPr>
          <w:rFonts w:ascii="Verdana" w:hAnsi="Verdana"/>
          <w:bCs/>
          <w:sz w:val="20"/>
          <w:szCs w:val="20"/>
        </w:rPr>
        <w:t>«Atributos de los créditos y deudores»</w:t>
      </w:r>
      <w:r w:rsidR="00BB7F3E">
        <w:rPr>
          <w:rFonts w:ascii="Verdana" w:hAnsi="Verdana"/>
          <w:bCs/>
          <w:sz w:val="20"/>
          <w:szCs w:val="20"/>
        </w:rPr>
        <w:t>.</w:t>
      </w:r>
      <w:r w:rsidR="00D22C5D">
        <w:rPr>
          <w:rFonts w:ascii="Verdana" w:hAnsi="Verdana"/>
          <w:bCs/>
          <w:sz w:val="20"/>
          <w:szCs w:val="20"/>
        </w:rPr>
        <w:t xml:space="preserve"> </w:t>
      </w:r>
      <w:r w:rsidR="00377F12" w:rsidRPr="00377F12">
        <w:rPr>
          <w:rFonts w:ascii="Verdana" w:hAnsi="Verdana"/>
          <w:bCs/>
          <w:sz w:val="20"/>
          <w:szCs w:val="20"/>
        </w:rPr>
        <w:t>L</w:t>
      </w:r>
      <w:r w:rsidR="00377F12">
        <w:rPr>
          <w:rFonts w:ascii="Verdana" w:hAnsi="Verdana"/>
          <w:bCs/>
          <w:sz w:val="20"/>
          <w:szCs w:val="20"/>
        </w:rPr>
        <w:t>o</w:t>
      </w:r>
      <w:r w:rsidR="00377F12" w:rsidRPr="00377F12">
        <w:rPr>
          <w:rFonts w:ascii="Verdana" w:hAnsi="Verdana"/>
          <w:bCs/>
          <w:sz w:val="20"/>
          <w:szCs w:val="20"/>
        </w:rPr>
        <w:t>s demás</w:t>
      </w:r>
      <w:r w:rsidR="00377F12">
        <w:rPr>
          <w:rFonts w:ascii="Verdana" w:hAnsi="Verdana"/>
          <w:bCs/>
          <w:sz w:val="20"/>
          <w:szCs w:val="20"/>
        </w:rPr>
        <w:t xml:space="preserve"> </w:t>
      </w:r>
      <w:r w:rsidR="00377F12" w:rsidRPr="00377F12">
        <w:rPr>
          <w:rFonts w:ascii="Verdana" w:hAnsi="Verdana"/>
          <w:bCs/>
          <w:sz w:val="20"/>
          <w:szCs w:val="20"/>
        </w:rPr>
        <w:t xml:space="preserve">atributos serán de reporte voluntario.  </w:t>
      </w:r>
    </w:p>
    <w:p w14:paraId="52D33BDD" w14:textId="77777777" w:rsidR="00817A2F" w:rsidRDefault="00817A2F" w:rsidP="00A83864">
      <w:pPr>
        <w:pStyle w:val="Prrafodelista"/>
        <w:ind w:left="567"/>
        <w:jc w:val="both"/>
        <w:outlineLvl w:val="0"/>
        <w:rPr>
          <w:rFonts w:ascii="Verdana" w:hAnsi="Verdana"/>
          <w:bCs/>
          <w:sz w:val="20"/>
          <w:szCs w:val="20"/>
        </w:rPr>
      </w:pPr>
    </w:p>
    <w:p w14:paraId="7558190A" w14:textId="2962F482" w:rsidR="005A5153" w:rsidRDefault="00654151" w:rsidP="00BB7F3E">
      <w:pPr>
        <w:pStyle w:val="Prrafodelista"/>
        <w:numPr>
          <w:ilvl w:val="0"/>
          <w:numId w:val="10"/>
        </w:numPr>
        <w:ind w:left="567" w:hanging="567"/>
        <w:jc w:val="both"/>
        <w:outlineLvl w:val="0"/>
        <w:rPr>
          <w:rFonts w:ascii="Verdana" w:hAnsi="Verdana"/>
          <w:bCs/>
          <w:sz w:val="20"/>
          <w:szCs w:val="20"/>
        </w:rPr>
      </w:pPr>
      <w:r w:rsidRPr="00654151">
        <w:rPr>
          <w:rFonts w:ascii="Verdana" w:hAnsi="Verdana"/>
          <w:bCs/>
          <w:sz w:val="20"/>
          <w:szCs w:val="20"/>
        </w:rPr>
        <w:t>Las entidades que</w:t>
      </w:r>
      <w:r w:rsidR="00554623">
        <w:rPr>
          <w:rFonts w:ascii="Verdana" w:hAnsi="Verdana"/>
          <w:bCs/>
          <w:sz w:val="20"/>
          <w:szCs w:val="20"/>
        </w:rPr>
        <w:t xml:space="preserve"> </w:t>
      </w:r>
      <w:r w:rsidRPr="00654151">
        <w:rPr>
          <w:rFonts w:ascii="Verdana" w:hAnsi="Verdana"/>
          <w:bCs/>
          <w:sz w:val="20"/>
          <w:szCs w:val="20"/>
        </w:rPr>
        <w:t xml:space="preserve">a la fecha </w:t>
      </w:r>
      <w:r w:rsidR="00484195">
        <w:rPr>
          <w:rFonts w:ascii="Verdana" w:hAnsi="Verdana"/>
          <w:bCs/>
          <w:sz w:val="20"/>
          <w:szCs w:val="20"/>
        </w:rPr>
        <w:t>de inicio de aplicación</w:t>
      </w:r>
      <w:r w:rsidRPr="00654151">
        <w:rPr>
          <w:rFonts w:ascii="Verdana" w:hAnsi="Verdana"/>
          <w:bCs/>
          <w:sz w:val="20"/>
          <w:szCs w:val="20"/>
        </w:rPr>
        <w:t xml:space="preserve"> del MURIC</w:t>
      </w:r>
      <w:r w:rsidR="00377F12">
        <w:rPr>
          <w:rFonts w:ascii="Verdana" w:hAnsi="Verdana"/>
          <w:bCs/>
          <w:sz w:val="20"/>
          <w:szCs w:val="20"/>
        </w:rPr>
        <w:t xml:space="preserve"> </w:t>
      </w:r>
      <w:r w:rsidR="00FE5573">
        <w:rPr>
          <w:rFonts w:ascii="Verdana" w:hAnsi="Verdana"/>
          <w:bCs/>
          <w:sz w:val="20"/>
          <w:szCs w:val="20"/>
        </w:rPr>
        <w:t>cuenten con</w:t>
      </w:r>
      <w:r w:rsidRPr="00654151">
        <w:rPr>
          <w:rFonts w:ascii="Verdana" w:hAnsi="Verdana"/>
          <w:bCs/>
          <w:sz w:val="20"/>
          <w:szCs w:val="20"/>
        </w:rPr>
        <w:t xml:space="preserve"> operaciones de crédito</w:t>
      </w:r>
      <w:r w:rsidR="00535544">
        <w:rPr>
          <w:rFonts w:ascii="Verdana" w:hAnsi="Verdana"/>
          <w:bCs/>
          <w:sz w:val="20"/>
          <w:szCs w:val="20"/>
        </w:rPr>
        <w:t xml:space="preserve"> vigentes</w:t>
      </w:r>
      <w:r w:rsidR="00377F12">
        <w:rPr>
          <w:rFonts w:ascii="Verdana" w:hAnsi="Verdana"/>
          <w:bCs/>
          <w:sz w:val="20"/>
          <w:szCs w:val="20"/>
        </w:rPr>
        <w:t xml:space="preserve">, </w:t>
      </w:r>
      <w:r w:rsidRPr="00654151">
        <w:rPr>
          <w:rFonts w:ascii="Verdana" w:hAnsi="Verdana"/>
          <w:bCs/>
          <w:sz w:val="20"/>
          <w:szCs w:val="20"/>
        </w:rPr>
        <w:t xml:space="preserve">deberán </w:t>
      </w:r>
      <w:r w:rsidR="003C1D92">
        <w:rPr>
          <w:rFonts w:ascii="Verdana" w:hAnsi="Verdana"/>
          <w:bCs/>
          <w:sz w:val="20"/>
          <w:szCs w:val="20"/>
        </w:rPr>
        <w:t xml:space="preserve">realizar los mejores esfuerzos </w:t>
      </w:r>
      <w:r w:rsidRPr="00654151">
        <w:rPr>
          <w:rFonts w:ascii="Verdana" w:hAnsi="Verdana"/>
          <w:bCs/>
          <w:sz w:val="20"/>
          <w:szCs w:val="20"/>
        </w:rPr>
        <w:t xml:space="preserve">para la </w:t>
      </w:r>
      <w:r w:rsidRPr="00654151">
        <w:rPr>
          <w:rFonts w:ascii="Verdana" w:hAnsi="Verdana"/>
          <w:bCs/>
          <w:sz w:val="20"/>
          <w:szCs w:val="20"/>
        </w:rPr>
        <w:lastRenderedPageBreak/>
        <w:t xml:space="preserve">actualización de la información </w:t>
      </w:r>
      <w:r w:rsidR="000924F8">
        <w:rPr>
          <w:rFonts w:ascii="Verdana" w:hAnsi="Verdana"/>
          <w:bCs/>
          <w:sz w:val="20"/>
          <w:szCs w:val="20"/>
        </w:rPr>
        <w:t>requerida</w:t>
      </w:r>
      <w:r w:rsidRPr="00654151">
        <w:rPr>
          <w:rFonts w:ascii="Verdana" w:hAnsi="Verdana"/>
          <w:bCs/>
          <w:sz w:val="20"/>
          <w:szCs w:val="20"/>
        </w:rPr>
        <w:t xml:space="preserve"> </w:t>
      </w:r>
      <w:r w:rsidR="00866B22">
        <w:rPr>
          <w:rFonts w:ascii="Verdana" w:hAnsi="Verdana"/>
          <w:bCs/>
          <w:sz w:val="20"/>
          <w:szCs w:val="20"/>
        </w:rPr>
        <w:t>por</w:t>
      </w:r>
      <w:r w:rsidRPr="00654151">
        <w:rPr>
          <w:rFonts w:ascii="Verdana" w:hAnsi="Verdana"/>
          <w:bCs/>
          <w:sz w:val="20"/>
          <w:szCs w:val="20"/>
        </w:rPr>
        <w:t xml:space="preserve"> el MURIC</w:t>
      </w:r>
      <w:r w:rsidR="00CF76A4">
        <w:rPr>
          <w:rFonts w:ascii="Verdana" w:hAnsi="Verdana"/>
          <w:bCs/>
          <w:sz w:val="20"/>
          <w:szCs w:val="20"/>
        </w:rPr>
        <w:t xml:space="preserve"> que pueda ser razonablemente </w:t>
      </w:r>
      <w:r w:rsidR="00EF5B0A">
        <w:rPr>
          <w:rFonts w:ascii="Verdana" w:hAnsi="Verdana"/>
          <w:bCs/>
          <w:sz w:val="20"/>
          <w:szCs w:val="20"/>
        </w:rPr>
        <w:t>obtenida</w:t>
      </w:r>
      <w:r w:rsidRPr="00654151">
        <w:rPr>
          <w:rFonts w:ascii="Verdana" w:hAnsi="Verdana"/>
          <w:bCs/>
          <w:sz w:val="20"/>
          <w:szCs w:val="20"/>
        </w:rPr>
        <w:t xml:space="preserve">, en el marco del proceso de actualización de </w:t>
      </w:r>
      <w:r w:rsidR="001A15C5">
        <w:rPr>
          <w:rFonts w:ascii="Verdana" w:hAnsi="Verdana"/>
          <w:bCs/>
          <w:sz w:val="20"/>
          <w:szCs w:val="20"/>
        </w:rPr>
        <w:t>la información</w:t>
      </w:r>
      <w:r w:rsidRPr="00654151">
        <w:rPr>
          <w:rFonts w:ascii="Verdana" w:hAnsi="Verdana"/>
          <w:bCs/>
          <w:sz w:val="20"/>
          <w:szCs w:val="20"/>
        </w:rPr>
        <w:t xml:space="preserve"> del cliente previsto en la Circular Básica Jurídica (CBJ).</w:t>
      </w:r>
      <w:r w:rsidR="000261AC">
        <w:rPr>
          <w:rFonts w:ascii="Verdana" w:hAnsi="Verdana"/>
          <w:bCs/>
          <w:sz w:val="20"/>
          <w:szCs w:val="20"/>
        </w:rPr>
        <w:t xml:space="preserve"> </w:t>
      </w:r>
    </w:p>
    <w:p w14:paraId="0E797565" w14:textId="77777777" w:rsidR="00804C75" w:rsidRPr="00C27D42" w:rsidRDefault="00804C75" w:rsidP="00C27D42">
      <w:pPr>
        <w:pStyle w:val="Prrafodelista"/>
        <w:rPr>
          <w:rFonts w:ascii="Verdana" w:hAnsi="Verdana"/>
          <w:bCs/>
          <w:sz w:val="20"/>
          <w:szCs w:val="20"/>
        </w:rPr>
      </w:pPr>
    </w:p>
    <w:p w14:paraId="2898F19A" w14:textId="3B3E1E21" w:rsidR="00804C75" w:rsidRDefault="00EA69A8" w:rsidP="00BB7F3E">
      <w:pPr>
        <w:pStyle w:val="Prrafodelista"/>
        <w:numPr>
          <w:ilvl w:val="0"/>
          <w:numId w:val="10"/>
        </w:numPr>
        <w:ind w:left="567" w:hanging="567"/>
        <w:jc w:val="both"/>
        <w:outlineLvl w:val="0"/>
        <w:rPr>
          <w:rFonts w:ascii="Verdana" w:hAnsi="Verdana"/>
          <w:bCs/>
          <w:sz w:val="20"/>
          <w:szCs w:val="20"/>
        </w:rPr>
      </w:pPr>
      <w:r>
        <w:rPr>
          <w:rFonts w:ascii="Verdana" w:hAnsi="Verdana"/>
          <w:bCs/>
          <w:sz w:val="20"/>
          <w:szCs w:val="20"/>
        </w:rPr>
        <w:t>Las instrucciones del MURIC aplicarán a las Instituciones Oficiales Especiales únicamente cuando estas</w:t>
      </w:r>
      <w:r w:rsidR="0085148C">
        <w:rPr>
          <w:rFonts w:ascii="Verdana" w:hAnsi="Verdana"/>
          <w:bCs/>
          <w:sz w:val="20"/>
          <w:szCs w:val="20"/>
        </w:rPr>
        <w:t xml:space="preserve"> desarrollen las operaciones de crédito enunciadas </w:t>
      </w:r>
      <w:r w:rsidR="00556FF7">
        <w:rPr>
          <w:rFonts w:ascii="Verdana" w:hAnsi="Verdana"/>
          <w:bCs/>
          <w:sz w:val="20"/>
          <w:szCs w:val="20"/>
        </w:rPr>
        <w:t xml:space="preserve">en el numeral 2 de las presentes Reglas de Diligenciamiento. </w:t>
      </w:r>
    </w:p>
    <w:p w14:paraId="6B65BCF8" w14:textId="0B10627B" w:rsidR="00A83864" w:rsidRDefault="00A83864">
      <w:pPr>
        <w:spacing w:after="160" w:line="259" w:lineRule="auto"/>
        <w:rPr>
          <w:rFonts w:ascii="Verdana" w:hAnsi="Verdana"/>
          <w:b/>
          <w:bCs/>
          <w:sz w:val="20"/>
          <w:szCs w:val="20"/>
        </w:rPr>
      </w:pPr>
    </w:p>
    <w:p w14:paraId="667F3105" w14:textId="77777777" w:rsidR="002B14F3" w:rsidRDefault="002B14F3" w:rsidP="00614711">
      <w:pPr>
        <w:jc w:val="center"/>
        <w:rPr>
          <w:rFonts w:ascii="Verdana" w:hAnsi="Verdana"/>
          <w:b/>
          <w:bCs/>
          <w:sz w:val="20"/>
          <w:szCs w:val="20"/>
        </w:rPr>
      </w:pPr>
    </w:p>
    <w:p w14:paraId="3A7C7B7C" w14:textId="6362F5DE" w:rsidR="00614711" w:rsidRPr="00075DE0" w:rsidRDefault="00614711" w:rsidP="00614711">
      <w:pPr>
        <w:jc w:val="center"/>
        <w:rPr>
          <w:rFonts w:ascii="Verdana" w:hAnsi="Verdana"/>
          <w:b/>
          <w:bCs/>
          <w:sz w:val="20"/>
          <w:szCs w:val="20"/>
        </w:rPr>
      </w:pPr>
      <w:r>
        <w:rPr>
          <w:rFonts w:ascii="Verdana" w:hAnsi="Verdana"/>
          <w:b/>
          <w:bCs/>
          <w:sz w:val="20"/>
          <w:szCs w:val="20"/>
        </w:rPr>
        <w:t>Datos generales</w:t>
      </w:r>
      <w:r w:rsidR="0030452A">
        <w:rPr>
          <w:rFonts w:ascii="Verdana" w:hAnsi="Verdana"/>
          <w:b/>
          <w:bCs/>
          <w:sz w:val="20"/>
          <w:szCs w:val="20"/>
        </w:rPr>
        <w:t xml:space="preserve"> del módulo</w:t>
      </w:r>
    </w:p>
    <w:p w14:paraId="549A1B1D" w14:textId="77777777" w:rsidR="00614711" w:rsidRDefault="00614711" w:rsidP="00614711">
      <w:pPr>
        <w:jc w:val="center"/>
        <w:rPr>
          <w:rFonts w:ascii="Verdana" w:hAnsi="Verdana"/>
          <w:b/>
          <w:bCs/>
          <w:sz w:val="20"/>
          <w:szCs w:val="20"/>
        </w:rPr>
      </w:pPr>
    </w:p>
    <w:p w14:paraId="3E976DD1" w14:textId="77777777" w:rsidR="008A424F" w:rsidRDefault="008A424F" w:rsidP="00614711">
      <w:pPr>
        <w:jc w:val="both"/>
        <w:rPr>
          <w:rFonts w:ascii="Verdana" w:hAnsi="Verdana"/>
          <w:b/>
          <w:bCs/>
          <w:sz w:val="20"/>
          <w:szCs w:val="20"/>
        </w:rPr>
      </w:pPr>
    </w:p>
    <w:p w14:paraId="370F03EC" w14:textId="0B0AF64C" w:rsidR="00614711" w:rsidRPr="0043635A" w:rsidRDefault="00BF4188" w:rsidP="00614711">
      <w:pPr>
        <w:jc w:val="both"/>
        <w:rPr>
          <w:rFonts w:ascii="Verdana" w:hAnsi="Verdana"/>
          <w:b/>
          <w:bCs/>
          <w:sz w:val="20"/>
          <w:szCs w:val="20"/>
        </w:rPr>
      </w:pPr>
      <w:r>
        <w:rPr>
          <w:rFonts w:ascii="Verdana" w:hAnsi="Verdana"/>
          <w:b/>
          <w:bCs/>
          <w:sz w:val="20"/>
          <w:szCs w:val="20"/>
        </w:rPr>
        <w:t>Tipo de entidad</w:t>
      </w:r>
      <w:r w:rsidR="00614711">
        <w:rPr>
          <w:rFonts w:ascii="Verdana" w:hAnsi="Verdana"/>
          <w:b/>
          <w:bCs/>
          <w:sz w:val="20"/>
          <w:szCs w:val="20"/>
        </w:rPr>
        <w:t>:</w:t>
      </w:r>
    </w:p>
    <w:p w14:paraId="56164D26" w14:textId="77777777" w:rsidR="00614711" w:rsidRPr="0043635A" w:rsidRDefault="00614711" w:rsidP="00614711">
      <w:pPr>
        <w:ind w:left="2124" w:hanging="2124"/>
        <w:jc w:val="center"/>
        <w:rPr>
          <w:rFonts w:ascii="Verdana" w:hAnsi="Verdana"/>
          <w:sz w:val="20"/>
          <w:szCs w:val="20"/>
        </w:rPr>
      </w:pPr>
    </w:p>
    <w:p w14:paraId="06CE28CC" w14:textId="5280A8A6" w:rsidR="00BF4188" w:rsidRDefault="007557E1" w:rsidP="00BF4188">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código de</w:t>
      </w:r>
      <w:r w:rsidR="00C85017">
        <w:rPr>
          <w:rFonts w:ascii="Verdana" w:eastAsia="Times New Roman" w:hAnsi="Verdana" w:cs="Calibri"/>
          <w:color w:val="000000"/>
          <w:sz w:val="20"/>
          <w:szCs w:val="20"/>
          <w:lang w:eastAsia="es-CO"/>
        </w:rPr>
        <w:t>l</w:t>
      </w:r>
      <w:r w:rsidRPr="00075DE0">
        <w:rPr>
          <w:rFonts w:ascii="Verdana" w:eastAsia="Times New Roman" w:hAnsi="Verdana" w:cs="Calibri"/>
          <w:color w:val="000000"/>
          <w:sz w:val="20"/>
          <w:szCs w:val="20"/>
          <w:lang w:eastAsia="es-CO"/>
        </w:rPr>
        <w:t xml:space="preserve"> tipo de entidad asignado por la SFC.</w:t>
      </w:r>
    </w:p>
    <w:p w14:paraId="4FF8C7EE" w14:textId="77777777" w:rsidR="007557E1" w:rsidRDefault="007557E1" w:rsidP="00BF4188">
      <w:pPr>
        <w:jc w:val="both"/>
        <w:rPr>
          <w:rFonts w:ascii="Verdana" w:hAnsi="Verdana"/>
          <w:b/>
          <w:bCs/>
          <w:sz w:val="20"/>
          <w:szCs w:val="20"/>
        </w:rPr>
      </w:pPr>
    </w:p>
    <w:p w14:paraId="78ED728B" w14:textId="62F461AA" w:rsidR="00BF4188" w:rsidRPr="0043635A" w:rsidRDefault="00BF4188" w:rsidP="00BF4188">
      <w:pPr>
        <w:jc w:val="both"/>
        <w:rPr>
          <w:rFonts w:ascii="Verdana" w:hAnsi="Verdana"/>
          <w:b/>
          <w:bCs/>
          <w:sz w:val="20"/>
          <w:szCs w:val="20"/>
        </w:rPr>
      </w:pPr>
      <w:r>
        <w:rPr>
          <w:rFonts w:ascii="Verdana" w:hAnsi="Verdana"/>
          <w:b/>
          <w:bCs/>
          <w:sz w:val="20"/>
          <w:szCs w:val="20"/>
        </w:rPr>
        <w:t>Código de la entidad:</w:t>
      </w:r>
    </w:p>
    <w:p w14:paraId="2CEF665D" w14:textId="77777777" w:rsidR="00BF4188" w:rsidRPr="0043635A" w:rsidRDefault="00BF4188" w:rsidP="00BF4188">
      <w:pPr>
        <w:ind w:left="2124" w:hanging="2124"/>
        <w:jc w:val="center"/>
        <w:rPr>
          <w:rFonts w:ascii="Verdana" w:hAnsi="Verdana"/>
          <w:sz w:val="20"/>
          <w:szCs w:val="20"/>
        </w:rPr>
      </w:pPr>
    </w:p>
    <w:p w14:paraId="066B31B9" w14:textId="55693641" w:rsidR="00C85017" w:rsidRPr="00075DE0" w:rsidRDefault="00C85017" w:rsidP="00C85017">
      <w:pPr>
        <w:jc w:val="both"/>
        <w:outlineLvl w:val="0"/>
        <w:rPr>
          <w:rFonts w:ascii="Verdana" w:hAnsi="Verdana"/>
          <w:b/>
          <w:sz w:val="20"/>
          <w:szCs w:val="20"/>
        </w:rPr>
      </w:pPr>
      <w:r w:rsidRPr="00075DE0">
        <w:rPr>
          <w:rFonts w:ascii="Verdana" w:eastAsia="Times New Roman" w:hAnsi="Verdana" w:cs="Calibri"/>
          <w:color w:val="000000"/>
          <w:sz w:val="20"/>
          <w:szCs w:val="20"/>
          <w:lang w:eastAsia="es-CO"/>
        </w:rPr>
        <w:t>Registre el código de la entidad asignado por la SFC.</w:t>
      </w:r>
    </w:p>
    <w:p w14:paraId="6BC0C7AD" w14:textId="77777777" w:rsidR="00161D60" w:rsidRDefault="00161D60" w:rsidP="00161D60">
      <w:pPr>
        <w:jc w:val="both"/>
        <w:rPr>
          <w:rFonts w:ascii="Verdana" w:hAnsi="Verdana"/>
          <w:b/>
          <w:bCs/>
          <w:sz w:val="20"/>
          <w:szCs w:val="20"/>
        </w:rPr>
      </w:pPr>
    </w:p>
    <w:p w14:paraId="3A6F5C24" w14:textId="57881BEF" w:rsidR="00161D60" w:rsidRPr="0043635A" w:rsidRDefault="00161D60" w:rsidP="00161D60">
      <w:pPr>
        <w:jc w:val="both"/>
        <w:rPr>
          <w:rFonts w:ascii="Verdana" w:hAnsi="Verdana"/>
          <w:b/>
          <w:bCs/>
          <w:sz w:val="20"/>
          <w:szCs w:val="20"/>
        </w:rPr>
      </w:pPr>
      <w:r>
        <w:rPr>
          <w:rFonts w:ascii="Verdana" w:hAnsi="Verdana"/>
          <w:b/>
          <w:bCs/>
          <w:sz w:val="20"/>
          <w:szCs w:val="20"/>
        </w:rPr>
        <w:t>Fecha de corte:</w:t>
      </w:r>
    </w:p>
    <w:p w14:paraId="5D2E9AA8" w14:textId="77777777" w:rsidR="00161D60" w:rsidRPr="0043635A" w:rsidRDefault="00161D60" w:rsidP="00161D60">
      <w:pPr>
        <w:ind w:left="2124" w:hanging="2124"/>
        <w:jc w:val="center"/>
        <w:rPr>
          <w:rFonts w:ascii="Verdana" w:hAnsi="Verdana"/>
          <w:sz w:val="20"/>
          <w:szCs w:val="20"/>
        </w:rPr>
      </w:pPr>
    </w:p>
    <w:p w14:paraId="5FF0071B" w14:textId="74F4086C" w:rsidR="00161D60" w:rsidRDefault="00161D60" w:rsidP="00161D60">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la fecha de corte de la información objeto de reporte bajo el formato de la norma ISO 86-01.</w:t>
      </w:r>
    </w:p>
    <w:p w14:paraId="1A11CAB3" w14:textId="77777777" w:rsidR="00313C43" w:rsidRDefault="00313C43" w:rsidP="00313C43">
      <w:pPr>
        <w:jc w:val="both"/>
        <w:outlineLvl w:val="0"/>
        <w:rPr>
          <w:rFonts w:ascii="Verdana" w:hAnsi="Verdana"/>
          <w:bCs/>
          <w:sz w:val="20"/>
          <w:szCs w:val="20"/>
        </w:rPr>
      </w:pPr>
    </w:p>
    <w:p w14:paraId="272306E8" w14:textId="77777777" w:rsidR="00313C43" w:rsidRDefault="00313C43" w:rsidP="00313C43">
      <w:pPr>
        <w:jc w:val="both"/>
        <w:outlineLvl w:val="0"/>
        <w:rPr>
          <w:rFonts w:ascii="Verdana" w:hAnsi="Verdana"/>
          <w:bCs/>
          <w:sz w:val="20"/>
          <w:szCs w:val="20"/>
        </w:rPr>
      </w:pPr>
    </w:p>
    <w:p w14:paraId="1ABD0A16" w14:textId="77777777" w:rsidR="00313C43" w:rsidRDefault="00313C43" w:rsidP="00313C43">
      <w:pPr>
        <w:jc w:val="both"/>
        <w:outlineLvl w:val="0"/>
        <w:rPr>
          <w:rFonts w:ascii="Verdana" w:hAnsi="Verdana"/>
          <w:bCs/>
          <w:sz w:val="20"/>
          <w:szCs w:val="20"/>
        </w:rPr>
      </w:pPr>
    </w:p>
    <w:p w14:paraId="10277B6F" w14:textId="77777777" w:rsidR="008A424F" w:rsidRDefault="008A424F">
      <w:pPr>
        <w:spacing w:after="160" w:line="259" w:lineRule="auto"/>
        <w:rPr>
          <w:rFonts w:ascii="Verdana" w:hAnsi="Verdana"/>
          <w:b/>
          <w:bCs/>
          <w:sz w:val="20"/>
          <w:szCs w:val="20"/>
        </w:rPr>
      </w:pPr>
      <w:r>
        <w:rPr>
          <w:rFonts w:ascii="Verdana" w:hAnsi="Verdana"/>
          <w:b/>
          <w:bCs/>
          <w:sz w:val="20"/>
          <w:szCs w:val="20"/>
        </w:rPr>
        <w:br w:type="page"/>
      </w:r>
    </w:p>
    <w:p w14:paraId="1B90D5F5" w14:textId="1A710C2F" w:rsidR="00313C43" w:rsidRPr="00075DE0" w:rsidRDefault="00313C43" w:rsidP="00313C43">
      <w:pPr>
        <w:jc w:val="center"/>
        <w:rPr>
          <w:rFonts w:ascii="Verdana" w:hAnsi="Verdana"/>
          <w:b/>
          <w:bCs/>
          <w:sz w:val="20"/>
          <w:szCs w:val="20"/>
        </w:rPr>
      </w:pPr>
      <w:r>
        <w:rPr>
          <w:rFonts w:ascii="Verdana" w:hAnsi="Verdana"/>
          <w:b/>
          <w:bCs/>
          <w:sz w:val="20"/>
          <w:szCs w:val="20"/>
        </w:rPr>
        <w:lastRenderedPageBreak/>
        <w:t>Datos de los insumos de captura</w:t>
      </w:r>
    </w:p>
    <w:p w14:paraId="1E6CE974" w14:textId="77777777" w:rsidR="00313C43" w:rsidRDefault="00313C43" w:rsidP="00313C43">
      <w:pPr>
        <w:jc w:val="center"/>
        <w:rPr>
          <w:rFonts w:ascii="Verdana" w:hAnsi="Verdana"/>
          <w:b/>
          <w:bCs/>
          <w:sz w:val="20"/>
          <w:szCs w:val="20"/>
        </w:rPr>
      </w:pPr>
    </w:p>
    <w:p w14:paraId="5073198B" w14:textId="77777777" w:rsidR="00CF627D" w:rsidRDefault="00CF627D" w:rsidP="00CF627D">
      <w:pPr>
        <w:jc w:val="center"/>
        <w:outlineLvl w:val="0"/>
        <w:rPr>
          <w:rFonts w:ascii="Verdana" w:hAnsi="Verdana"/>
          <w:b/>
          <w:sz w:val="20"/>
          <w:szCs w:val="20"/>
        </w:rPr>
      </w:pPr>
    </w:p>
    <w:p w14:paraId="285DE798" w14:textId="77777777" w:rsidR="00332074" w:rsidRPr="00075DE0" w:rsidRDefault="00332074" w:rsidP="00CF627D">
      <w:pPr>
        <w:jc w:val="center"/>
        <w:outlineLvl w:val="0"/>
        <w:rPr>
          <w:rFonts w:ascii="Verdana" w:hAnsi="Verdana"/>
          <w:b/>
          <w:sz w:val="20"/>
          <w:szCs w:val="20"/>
        </w:rPr>
      </w:pPr>
    </w:p>
    <w:p w14:paraId="1B4E4541" w14:textId="77777777" w:rsidR="008D4AF7" w:rsidRDefault="00CF627D" w:rsidP="00DA3F06">
      <w:pPr>
        <w:jc w:val="center"/>
        <w:outlineLvl w:val="0"/>
        <w:rPr>
          <w:rFonts w:ascii="Verdana" w:hAnsi="Verdana"/>
          <w:b/>
          <w:sz w:val="20"/>
          <w:szCs w:val="20"/>
        </w:rPr>
      </w:pPr>
      <w:r w:rsidRPr="00075DE0">
        <w:rPr>
          <w:rFonts w:ascii="Verdana" w:hAnsi="Verdana"/>
          <w:b/>
          <w:sz w:val="20"/>
          <w:szCs w:val="20"/>
        </w:rPr>
        <w:t xml:space="preserve">MURIC-001-001 </w:t>
      </w:r>
    </w:p>
    <w:p w14:paraId="6AA7C907" w14:textId="48998056" w:rsidR="00CF627D" w:rsidRDefault="00FD7571" w:rsidP="00DA3F06">
      <w:pPr>
        <w:jc w:val="center"/>
        <w:outlineLvl w:val="0"/>
        <w:rPr>
          <w:rFonts w:ascii="Verdana" w:hAnsi="Verdana"/>
          <w:b/>
          <w:sz w:val="20"/>
          <w:szCs w:val="20"/>
        </w:rPr>
      </w:pPr>
      <w:r w:rsidRPr="00FD7571">
        <w:rPr>
          <w:rFonts w:ascii="Verdana" w:hAnsi="Verdana"/>
          <w:b/>
          <w:sz w:val="20"/>
          <w:szCs w:val="20"/>
        </w:rPr>
        <w:t>Información general de los</w:t>
      </w:r>
      <w:r w:rsidR="00177E71">
        <w:rPr>
          <w:rFonts w:ascii="Verdana" w:hAnsi="Verdana"/>
          <w:b/>
          <w:sz w:val="20"/>
          <w:szCs w:val="20"/>
        </w:rPr>
        <w:t xml:space="preserve"> </w:t>
      </w:r>
      <w:r w:rsidRPr="00FD7571">
        <w:rPr>
          <w:rFonts w:ascii="Verdana" w:hAnsi="Verdana"/>
          <w:b/>
          <w:sz w:val="20"/>
          <w:szCs w:val="20"/>
        </w:rPr>
        <w:t>créditos</w:t>
      </w:r>
    </w:p>
    <w:p w14:paraId="374FC34F" w14:textId="77777777" w:rsidR="00313C43" w:rsidRPr="00075DE0" w:rsidRDefault="00313C43" w:rsidP="00CF627D">
      <w:pPr>
        <w:outlineLvl w:val="0"/>
        <w:rPr>
          <w:rFonts w:ascii="Verdana" w:hAnsi="Verdana"/>
          <w:b/>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3"/>
        <w:gridCol w:w="4770"/>
        <w:gridCol w:w="3094"/>
      </w:tblGrid>
      <w:tr w:rsidR="00CF627D" w:rsidRPr="00663431" w14:paraId="506251F4" w14:textId="77777777" w:rsidTr="4923CE6A">
        <w:trPr>
          <w:trHeight w:val="550"/>
          <w:tblHeader/>
        </w:trPr>
        <w:tc>
          <w:tcPr>
            <w:tcW w:w="1647" w:type="dxa"/>
            <w:vAlign w:val="center"/>
            <w:hideMark/>
          </w:tcPr>
          <w:p w14:paraId="41D80216" w14:textId="77777777" w:rsidR="00CF627D" w:rsidRPr="00663431" w:rsidRDefault="00CF627D" w:rsidP="00BC1503">
            <w:pPr>
              <w:jc w:val="center"/>
              <w:rPr>
                <w:rFonts w:ascii="Verdana" w:eastAsia="Times New Roman" w:hAnsi="Verdana" w:cs="Calibri"/>
                <w:b/>
                <w:bCs/>
                <w:color w:val="000000"/>
                <w:sz w:val="20"/>
                <w:szCs w:val="20"/>
                <w:lang w:eastAsia="es-CO"/>
              </w:rPr>
            </w:pPr>
            <w:r w:rsidRPr="00663431">
              <w:rPr>
                <w:rFonts w:ascii="Verdana" w:eastAsia="Times New Roman" w:hAnsi="Verdana" w:cs="Calibri"/>
                <w:b/>
                <w:bCs/>
                <w:color w:val="000000"/>
                <w:sz w:val="20"/>
                <w:szCs w:val="20"/>
                <w:lang w:eastAsia="es-CO"/>
              </w:rPr>
              <w:t>NOMBRE CAMPO</w:t>
            </w:r>
          </w:p>
        </w:tc>
        <w:tc>
          <w:tcPr>
            <w:tcW w:w="3177" w:type="dxa"/>
            <w:vAlign w:val="center"/>
          </w:tcPr>
          <w:p w14:paraId="16D4D917" w14:textId="77777777" w:rsidR="00CF627D" w:rsidRPr="00663431" w:rsidRDefault="00CF627D" w:rsidP="00BC1503">
            <w:pPr>
              <w:jc w:val="center"/>
              <w:rPr>
                <w:rFonts w:ascii="Verdana" w:eastAsia="Times New Roman" w:hAnsi="Verdana" w:cs="Calibri"/>
                <w:b/>
                <w:bCs/>
                <w:color w:val="000000"/>
                <w:sz w:val="20"/>
                <w:szCs w:val="20"/>
                <w:lang w:eastAsia="es-CO"/>
              </w:rPr>
            </w:pPr>
            <w:r w:rsidRPr="00663431">
              <w:rPr>
                <w:rFonts w:ascii="Verdana" w:eastAsia="Times New Roman" w:hAnsi="Verdana" w:cs="Calibri"/>
                <w:b/>
                <w:bCs/>
                <w:color w:val="000000"/>
                <w:sz w:val="20"/>
                <w:szCs w:val="20"/>
                <w:lang w:eastAsia="es-CO"/>
              </w:rPr>
              <w:t>VARIABLE</w:t>
            </w:r>
          </w:p>
        </w:tc>
        <w:tc>
          <w:tcPr>
            <w:tcW w:w="4243" w:type="dxa"/>
            <w:vAlign w:val="center"/>
            <w:hideMark/>
          </w:tcPr>
          <w:p w14:paraId="7E990BB0" w14:textId="77777777" w:rsidR="00CF627D" w:rsidRPr="00663431" w:rsidRDefault="00CF627D" w:rsidP="00BC1503">
            <w:pPr>
              <w:jc w:val="center"/>
              <w:rPr>
                <w:rFonts w:ascii="Verdana" w:eastAsia="Times New Roman" w:hAnsi="Verdana" w:cs="Calibri"/>
                <w:b/>
                <w:bCs/>
                <w:color w:val="000000"/>
                <w:sz w:val="20"/>
                <w:szCs w:val="20"/>
                <w:lang w:eastAsia="es-CO"/>
              </w:rPr>
            </w:pPr>
            <w:r w:rsidRPr="00663431">
              <w:rPr>
                <w:rFonts w:ascii="Verdana" w:eastAsia="Times New Roman" w:hAnsi="Verdana" w:cs="Calibri"/>
                <w:b/>
                <w:bCs/>
                <w:color w:val="000000"/>
                <w:sz w:val="20"/>
                <w:szCs w:val="20"/>
                <w:lang w:eastAsia="es-CO"/>
              </w:rPr>
              <w:t>DESCRIPCIÓN</w:t>
            </w:r>
          </w:p>
        </w:tc>
      </w:tr>
      <w:tr w:rsidR="00663431" w:rsidRPr="00663431" w14:paraId="28D82460" w14:textId="77777777" w:rsidTr="4923CE6A">
        <w:trPr>
          <w:trHeight w:val="1620"/>
        </w:trPr>
        <w:tc>
          <w:tcPr>
            <w:tcW w:w="1647" w:type="dxa"/>
            <w:vAlign w:val="center"/>
            <w:hideMark/>
          </w:tcPr>
          <w:p w14:paraId="66EED096" w14:textId="12D629C7" w:rsidR="00663431" w:rsidRPr="00663431" w:rsidRDefault="00663431" w:rsidP="00663431">
            <w:pPr>
              <w:jc w:val="center"/>
              <w:rPr>
                <w:rFonts w:ascii="Verdana" w:eastAsia="Times New Roman" w:hAnsi="Verdana" w:cs="Calibri"/>
                <w:sz w:val="20"/>
                <w:szCs w:val="20"/>
                <w:lang w:eastAsia="es-CO"/>
              </w:rPr>
            </w:pPr>
            <w:r w:rsidRPr="00663431">
              <w:rPr>
                <w:rFonts w:ascii="Verdana" w:eastAsia="Times New Roman" w:hAnsi="Verdana" w:cs="Calibri"/>
                <w:sz w:val="20"/>
                <w:szCs w:val="20"/>
                <w:lang w:eastAsia="es-CO"/>
              </w:rPr>
              <w:t xml:space="preserve">Identificación del </w:t>
            </w:r>
            <w:r w:rsidR="00BA7DC3">
              <w:rPr>
                <w:rFonts w:ascii="Verdana" w:eastAsia="Times New Roman" w:hAnsi="Verdana" w:cs="Calibri"/>
                <w:sz w:val="20"/>
                <w:szCs w:val="20"/>
                <w:lang w:eastAsia="es-CO"/>
              </w:rPr>
              <w:t>c</w:t>
            </w:r>
            <w:r w:rsidRPr="00663431">
              <w:rPr>
                <w:rFonts w:ascii="Verdana" w:eastAsia="Times New Roman" w:hAnsi="Verdana" w:cs="Calibri"/>
                <w:sz w:val="20"/>
                <w:szCs w:val="20"/>
                <w:lang w:eastAsia="es-CO"/>
              </w:rPr>
              <w:t>rédito</w:t>
            </w:r>
          </w:p>
        </w:tc>
        <w:tc>
          <w:tcPr>
            <w:tcW w:w="3177" w:type="dxa"/>
            <w:vAlign w:val="center"/>
          </w:tcPr>
          <w:p w14:paraId="72C4E740" w14:textId="35CACE33"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Identificacion_credito_entidad</w:t>
            </w:r>
          </w:p>
        </w:tc>
        <w:tc>
          <w:tcPr>
            <w:tcW w:w="4243" w:type="dxa"/>
            <w:vAlign w:val="center"/>
            <w:hideMark/>
          </w:tcPr>
          <w:p w14:paraId="7A6E8F8F" w14:textId="444EF024" w:rsidR="00663431" w:rsidRPr="00663431" w:rsidRDefault="00663431" w:rsidP="00663431">
            <w:pPr>
              <w:jc w:val="both"/>
              <w:rPr>
                <w:rFonts w:ascii="Verdana" w:eastAsia="Times New Roman" w:hAnsi="Verdana" w:cs="Calibri"/>
                <w:b/>
                <w:bCs/>
                <w:color w:val="000000"/>
                <w:sz w:val="20"/>
                <w:szCs w:val="20"/>
                <w:lang w:eastAsia="es-CO"/>
              </w:rPr>
            </w:pPr>
            <w:r w:rsidRPr="00663431">
              <w:rPr>
                <w:rFonts w:ascii="Verdana" w:eastAsia="Times New Roman" w:hAnsi="Verdana" w:cs="Calibri"/>
                <w:color w:val="000000"/>
                <w:sz w:val="20"/>
                <w:szCs w:val="20"/>
                <w:lang w:eastAsia="es-CO"/>
              </w:rPr>
              <w:t>Registre el código de identificación del crédito asignado en las bases de datos de la entidad. Este código debe ser individual por</w:t>
            </w:r>
            <w:r w:rsidR="00A61EFF">
              <w:rPr>
                <w:rFonts w:ascii="Verdana" w:eastAsia="Times New Roman" w:hAnsi="Verdana" w:cs="Calibri"/>
                <w:color w:val="000000"/>
                <w:sz w:val="20"/>
                <w:szCs w:val="20"/>
                <w:lang w:eastAsia="es-CO"/>
              </w:rPr>
              <w:t xml:space="preserve"> cada</w:t>
            </w:r>
            <w:r w:rsidRPr="00663431">
              <w:rPr>
                <w:rFonts w:ascii="Verdana" w:eastAsia="Times New Roman" w:hAnsi="Verdana" w:cs="Calibri"/>
                <w:color w:val="000000"/>
                <w:sz w:val="20"/>
                <w:szCs w:val="20"/>
                <w:lang w:eastAsia="es-CO"/>
              </w:rPr>
              <w:t xml:space="preserve"> operación reportada.</w:t>
            </w:r>
          </w:p>
          <w:p w14:paraId="7E865935" w14:textId="77777777" w:rsidR="00663431" w:rsidRPr="00663431" w:rsidRDefault="00663431" w:rsidP="00663431">
            <w:pPr>
              <w:jc w:val="both"/>
              <w:outlineLvl w:val="0"/>
              <w:rPr>
                <w:rFonts w:ascii="Verdana" w:hAnsi="Verdana"/>
                <w:bCs/>
                <w:sz w:val="20"/>
                <w:szCs w:val="20"/>
              </w:rPr>
            </w:pPr>
          </w:p>
          <w:p w14:paraId="031934A1" w14:textId="77777777" w:rsidR="00663431" w:rsidRPr="00663431" w:rsidRDefault="00663431" w:rsidP="00663431">
            <w:pPr>
              <w:jc w:val="both"/>
              <w:outlineLvl w:val="0"/>
              <w:rPr>
                <w:rFonts w:ascii="Verdana" w:hAnsi="Verdana"/>
                <w:bCs/>
                <w:sz w:val="20"/>
                <w:szCs w:val="20"/>
              </w:rPr>
            </w:pPr>
            <w:r w:rsidRPr="00663431">
              <w:rPr>
                <w:rFonts w:ascii="Verdana" w:hAnsi="Verdana"/>
                <w:bCs/>
                <w:sz w:val="20"/>
                <w:szCs w:val="20"/>
              </w:rPr>
              <w:t xml:space="preserve">Si existe un código de identificación de crédito duplicado dentro de los sistemas de la entidad, se debe agregar un prefijo al código de identificación de la operación, a partir del código del producto respectivo según la codificación publicada en la página web de la SFC en la </w:t>
            </w:r>
            <w:r w:rsidRPr="00663431">
              <w:rPr>
                <w:rFonts w:ascii="Verdana" w:eastAsia="Times New Roman" w:hAnsi="Verdana" w:cs="Calibri"/>
                <w:color w:val="000000"/>
                <w:sz w:val="20"/>
                <w:szCs w:val="20"/>
                <w:lang w:eastAsia="es-CO"/>
              </w:rPr>
              <w:t xml:space="preserve">sección: </w:t>
            </w:r>
          </w:p>
          <w:p w14:paraId="7904A707" w14:textId="77777777" w:rsidR="00663431" w:rsidRPr="00663431" w:rsidRDefault="00663431" w:rsidP="00663431">
            <w:pPr>
              <w:jc w:val="both"/>
              <w:rPr>
                <w:rFonts w:ascii="Verdana" w:eastAsia="Times New Roman" w:hAnsi="Verdana" w:cs="Calibri"/>
                <w:color w:val="000000"/>
                <w:sz w:val="20"/>
                <w:szCs w:val="20"/>
                <w:lang w:eastAsia="es-CO"/>
              </w:rPr>
            </w:pPr>
          </w:p>
          <w:p w14:paraId="4288ADA2" w14:textId="6A746560" w:rsidR="00663431" w:rsidRPr="009C2E0F" w:rsidRDefault="009C2E0F" w:rsidP="00663431">
            <w:pPr>
              <w:jc w:val="both"/>
              <w:outlineLvl w:val="0"/>
              <w:rPr>
                <w:rFonts w:ascii="Verdana" w:eastAsia="Times New Roman" w:hAnsi="Verdana" w:cs="Calibri"/>
                <w:i/>
                <w:iCs/>
                <w:color w:val="000000"/>
                <w:sz w:val="20"/>
                <w:szCs w:val="20"/>
                <w:lang w:val="es-CO"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Pr="009C2E0F">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1079F499" w14:textId="77777777" w:rsidR="00663431" w:rsidRDefault="00663431" w:rsidP="00663431">
            <w:pPr>
              <w:jc w:val="both"/>
              <w:outlineLvl w:val="0"/>
              <w:rPr>
                <w:rFonts w:ascii="Verdana" w:hAnsi="Verdana"/>
                <w:bCs/>
                <w:sz w:val="20"/>
                <w:szCs w:val="20"/>
              </w:rPr>
            </w:pPr>
          </w:p>
          <w:p w14:paraId="1E9EE629" w14:textId="10821333" w:rsidR="00F75A76" w:rsidRDefault="00F75A76" w:rsidP="00663431">
            <w:pPr>
              <w:jc w:val="both"/>
              <w:outlineLvl w:val="0"/>
              <w:rPr>
                <w:rFonts w:ascii="Verdana" w:hAnsi="Verdana"/>
                <w:bCs/>
                <w:sz w:val="20"/>
                <w:szCs w:val="20"/>
              </w:rPr>
            </w:pPr>
            <w:r>
              <w:rPr>
                <w:rFonts w:ascii="Verdana" w:hAnsi="Verdana"/>
                <w:bCs/>
                <w:sz w:val="20"/>
                <w:szCs w:val="20"/>
              </w:rPr>
              <w:t xml:space="preserve">En los casos de </w:t>
            </w:r>
            <w:r w:rsidR="008356AD">
              <w:rPr>
                <w:rFonts w:ascii="Verdana" w:hAnsi="Verdana"/>
                <w:bCs/>
                <w:sz w:val="20"/>
                <w:szCs w:val="20"/>
              </w:rPr>
              <w:t>l</w:t>
            </w:r>
            <w:r w:rsidR="007E4A7D">
              <w:rPr>
                <w:rFonts w:ascii="Verdana" w:hAnsi="Verdana"/>
                <w:bCs/>
                <w:sz w:val="20"/>
                <w:szCs w:val="20"/>
              </w:rPr>
              <w:t>os crédit</w:t>
            </w:r>
            <w:r w:rsidR="004614C2">
              <w:rPr>
                <w:rFonts w:ascii="Verdana" w:hAnsi="Verdana"/>
                <w:bCs/>
                <w:sz w:val="20"/>
                <w:szCs w:val="20"/>
              </w:rPr>
              <w:t xml:space="preserve">os </w:t>
            </w:r>
            <w:r w:rsidR="008356AD">
              <w:rPr>
                <w:rFonts w:ascii="Verdana" w:hAnsi="Verdana"/>
                <w:bCs/>
                <w:sz w:val="20"/>
                <w:szCs w:val="20"/>
              </w:rPr>
              <w:t xml:space="preserve">que </w:t>
            </w:r>
            <w:r w:rsidR="007E4A7D">
              <w:rPr>
                <w:rFonts w:ascii="Verdana" w:hAnsi="Verdana"/>
                <w:bCs/>
                <w:sz w:val="20"/>
                <w:szCs w:val="20"/>
              </w:rPr>
              <w:t xml:space="preserve">admiten </w:t>
            </w:r>
            <w:r w:rsidR="003A62C0">
              <w:rPr>
                <w:rFonts w:ascii="Verdana" w:hAnsi="Verdana"/>
                <w:bCs/>
                <w:sz w:val="20"/>
                <w:szCs w:val="20"/>
              </w:rPr>
              <w:t>exposiciones en más de una moneda bajo un mismo código de identificación dentro de los sistemas de la entidad</w:t>
            </w:r>
            <w:r w:rsidR="007E4A7D">
              <w:rPr>
                <w:rFonts w:ascii="Verdana" w:hAnsi="Verdana"/>
                <w:bCs/>
                <w:sz w:val="20"/>
                <w:szCs w:val="20"/>
              </w:rPr>
              <w:t xml:space="preserve">, se </w:t>
            </w:r>
            <w:r w:rsidR="007E4A7D" w:rsidRPr="00663431">
              <w:rPr>
                <w:rFonts w:ascii="Verdana" w:hAnsi="Verdana"/>
                <w:bCs/>
                <w:sz w:val="20"/>
                <w:szCs w:val="20"/>
              </w:rPr>
              <w:t xml:space="preserve">debe agregar </w:t>
            </w:r>
            <w:r w:rsidR="00416A83">
              <w:rPr>
                <w:rFonts w:ascii="Verdana" w:hAnsi="Verdana"/>
                <w:bCs/>
                <w:sz w:val="20"/>
                <w:szCs w:val="20"/>
              </w:rPr>
              <w:t xml:space="preserve">el código de la moneda de </w:t>
            </w:r>
            <w:r w:rsidR="00E82950">
              <w:rPr>
                <w:rFonts w:ascii="Verdana" w:hAnsi="Verdana"/>
                <w:bCs/>
                <w:sz w:val="20"/>
                <w:szCs w:val="20"/>
              </w:rPr>
              <w:t>cada</w:t>
            </w:r>
            <w:r w:rsidR="00416A83">
              <w:rPr>
                <w:rFonts w:ascii="Verdana" w:hAnsi="Verdana"/>
                <w:bCs/>
                <w:sz w:val="20"/>
                <w:szCs w:val="20"/>
              </w:rPr>
              <w:t xml:space="preserve"> exposición al final de</w:t>
            </w:r>
            <w:r w:rsidR="007E4A7D" w:rsidRPr="00663431">
              <w:rPr>
                <w:rFonts w:ascii="Verdana" w:hAnsi="Verdana"/>
                <w:bCs/>
                <w:sz w:val="20"/>
                <w:szCs w:val="20"/>
              </w:rPr>
              <w:t xml:space="preserve">l código de identificación </w:t>
            </w:r>
            <w:r w:rsidR="007E4A7D">
              <w:rPr>
                <w:rFonts w:ascii="Verdana" w:hAnsi="Verdana"/>
                <w:bCs/>
                <w:sz w:val="20"/>
                <w:szCs w:val="20"/>
              </w:rPr>
              <w:t>del crédito</w:t>
            </w:r>
            <w:r w:rsidR="004614C2">
              <w:rPr>
                <w:rFonts w:ascii="Verdana" w:hAnsi="Verdana"/>
                <w:bCs/>
                <w:sz w:val="20"/>
                <w:szCs w:val="20"/>
              </w:rPr>
              <w:t>,</w:t>
            </w:r>
            <w:r w:rsidR="00022E82">
              <w:rPr>
                <w:rFonts w:ascii="Verdana" w:hAnsi="Verdana"/>
                <w:bCs/>
                <w:sz w:val="20"/>
                <w:szCs w:val="20"/>
              </w:rPr>
              <w:t xml:space="preserve"> de forma que se pueda identificar que las distintas exposiciones por mone</w:t>
            </w:r>
            <w:r w:rsidR="00010E83">
              <w:rPr>
                <w:rFonts w:ascii="Verdana" w:hAnsi="Verdana"/>
                <w:bCs/>
                <w:sz w:val="20"/>
                <w:szCs w:val="20"/>
              </w:rPr>
              <w:t>d</w:t>
            </w:r>
            <w:r w:rsidR="00022E82">
              <w:rPr>
                <w:rFonts w:ascii="Verdana" w:hAnsi="Verdana"/>
                <w:bCs/>
                <w:sz w:val="20"/>
                <w:szCs w:val="20"/>
              </w:rPr>
              <w:t xml:space="preserve">a corresponden a la misma operación de crédito. Para </w:t>
            </w:r>
            <w:r w:rsidR="00010E83">
              <w:rPr>
                <w:rFonts w:ascii="Verdana" w:hAnsi="Verdana"/>
                <w:bCs/>
                <w:sz w:val="20"/>
                <w:szCs w:val="20"/>
              </w:rPr>
              <w:t xml:space="preserve">incluir el código de la moneda se debe </w:t>
            </w:r>
            <w:r w:rsidR="00AE750F">
              <w:rPr>
                <w:rFonts w:ascii="Verdana" w:hAnsi="Verdana"/>
                <w:bCs/>
                <w:sz w:val="20"/>
                <w:szCs w:val="20"/>
              </w:rPr>
              <w:t>registrar el código alfab</w:t>
            </w:r>
            <w:r w:rsidR="00466EF5">
              <w:rPr>
                <w:rFonts w:ascii="Verdana" w:hAnsi="Verdana"/>
                <w:bCs/>
                <w:sz w:val="20"/>
                <w:szCs w:val="20"/>
              </w:rPr>
              <w:t xml:space="preserve">ético de la moneda, de acuerdo con la codificación internacional de la ISO 4217, </w:t>
            </w:r>
            <w:r w:rsidR="00466EF5">
              <w:rPr>
                <w:rFonts w:ascii="Verdana" w:hAnsi="Verdana"/>
                <w:bCs/>
                <w:sz w:val="20"/>
                <w:szCs w:val="20"/>
              </w:rPr>
              <w:lastRenderedPageBreak/>
              <w:t xml:space="preserve">o cualquier otra que la sustituya. </w:t>
            </w:r>
          </w:p>
          <w:p w14:paraId="1C06896B" w14:textId="77777777" w:rsidR="00F75A76" w:rsidRPr="00663431" w:rsidRDefault="00F75A76" w:rsidP="00663431">
            <w:pPr>
              <w:jc w:val="both"/>
              <w:outlineLvl w:val="0"/>
              <w:rPr>
                <w:rFonts w:ascii="Verdana" w:hAnsi="Verdana"/>
                <w:bCs/>
                <w:sz w:val="20"/>
                <w:szCs w:val="20"/>
              </w:rPr>
            </w:pPr>
          </w:p>
          <w:p w14:paraId="3BA06DB8" w14:textId="504E08F1" w:rsidR="00663431" w:rsidRDefault="00663431" w:rsidP="00663431">
            <w:pPr>
              <w:jc w:val="both"/>
              <w:outlineLvl w:val="0"/>
              <w:rPr>
                <w:rFonts w:ascii="Verdana" w:hAnsi="Verdana"/>
                <w:bCs/>
                <w:sz w:val="20"/>
                <w:szCs w:val="20"/>
              </w:rPr>
            </w:pPr>
            <w:r w:rsidRPr="00663431">
              <w:rPr>
                <w:rFonts w:ascii="Verdana" w:hAnsi="Verdana"/>
                <w:bCs/>
                <w:sz w:val="20"/>
                <w:szCs w:val="20"/>
              </w:rPr>
              <w:t xml:space="preserve">En cualquier caso, el código de identificación </w:t>
            </w:r>
            <w:r w:rsidR="007031C0">
              <w:rPr>
                <w:rFonts w:ascii="Verdana" w:hAnsi="Verdana"/>
                <w:bCs/>
                <w:sz w:val="20"/>
                <w:szCs w:val="20"/>
              </w:rPr>
              <w:t xml:space="preserve">modificado con </w:t>
            </w:r>
            <w:r w:rsidRPr="00663431">
              <w:rPr>
                <w:rFonts w:ascii="Verdana" w:hAnsi="Verdana"/>
                <w:bCs/>
                <w:sz w:val="20"/>
                <w:szCs w:val="20"/>
              </w:rPr>
              <w:t>el prefijo</w:t>
            </w:r>
            <w:r w:rsidR="004614C2">
              <w:rPr>
                <w:rFonts w:ascii="Verdana" w:hAnsi="Verdana"/>
                <w:bCs/>
                <w:sz w:val="20"/>
                <w:szCs w:val="20"/>
              </w:rPr>
              <w:t xml:space="preserve"> por producto o con el </w:t>
            </w:r>
            <w:r w:rsidR="00E02CF2">
              <w:rPr>
                <w:rFonts w:ascii="Verdana" w:hAnsi="Verdana"/>
                <w:bCs/>
                <w:sz w:val="20"/>
                <w:szCs w:val="20"/>
              </w:rPr>
              <w:t>código por</w:t>
            </w:r>
            <w:r w:rsidR="007031C0">
              <w:rPr>
                <w:rFonts w:ascii="Verdana" w:hAnsi="Verdana"/>
                <w:bCs/>
                <w:sz w:val="20"/>
                <w:szCs w:val="20"/>
              </w:rPr>
              <w:t xml:space="preserve"> moneda</w:t>
            </w:r>
            <w:r w:rsidRPr="00663431">
              <w:rPr>
                <w:rFonts w:ascii="Verdana" w:hAnsi="Verdana"/>
                <w:bCs/>
                <w:sz w:val="20"/>
                <w:szCs w:val="20"/>
              </w:rPr>
              <w:t xml:space="preserve"> </w:t>
            </w:r>
            <w:r w:rsidR="007031C0">
              <w:rPr>
                <w:rFonts w:ascii="Verdana" w:hAnsi="Verdana"/>
                <w:bCs/>
                <w:sz w:val="20"/>
                <w:szCs w:val="20"/>
              </w:rPr>
              <w:t xml:space="preserve">debe </w:t>
            </w:r>
            <w:r w:rsidRPr="00663431">
              <w:rPr>
                <w:rFonts w:ascii="Verdana" w:hAnsi="Verdana"/>
                <w:bCs/>
                <w:sz w:val="20"/>
                <w:szCs w:val="20"/>
              </w:rPr>
              <w:t xml:space="preserve">ser consistente en </w:t>
            </w:r>
            <w:r w:rsidR="00657973">
              <w:rPr>
                <w:rFonts w:ascii="Verdana" w:hAnsi="Verdana"/>
                <w:bCs/>
                <w:sz w:val="20"/>
                <w:szCs w:val="20"/>
              </w:rPr>
              <w:t>el</w:t>
            </w:r>
            <w:r w:rsidRPr="00663431">
              <w:rPr>
                <w:rFonts w:ascii="Verdana" w:hAnsi="Verdana"/>
                <w:bCs/>
                <w:sz w:val="20"/>
                <w:szCs w:val="20"/>
              </w:rPr>
              <w:t xml:space="preserve"> MURIC.</w:t>
            </w:r>
          </w:p>
          <w:p w14:paraId="5D7ACC13" w14:textId="77777777" w:rsidR="00041BB8" w:rsidRDefault="00041BB8" w:rsidP="00663431">
            <w:pPr>
              <w:jc w:val="both"/>
              <w:outlineLvl w:val="0"/>
              <w:rPr>
                <w:rFonts w:ascii="Verdana" w:hAnsi="Verdana"/>
                <w:i/>
                <w:iCs/>
                <w:color w:val="000000"/>
                <w:sz w:val="20"/>
                <w:szCs w:val="20"/>
              </w:rPr>
            </w:pPr>
          </w:p>
          <w:p w14:paraId="38945202" w14:textId="3F12AFA2" w:rsidR="00041BB8" w:rsidRDefault="00007874" w:rsidP="00041BB8">
            <w:pPr>
              <w:jc w:val="both"/>
              <w:outlineLvl w:val="0"/>
              <w:rPr>
                <w:rFonts w:ascii="Verdana" w:hAnsi="Verdana"/>
                <w:color w:val="000000"/>
                <w:sz w:val="20"/>
                <w:szCs w:val="20"/>
              </w:rPr>
            </w:pPr>
            <w:r>
              <w:rPr>
                <w:rFonts w:ascii="Verdana" w:hAnsi="Verdana"/>
                <w:color w:val="000000"/>
                <w:sz w:val="20"/>
                <w:szCs w:val="20"/>
              </w:rPr>
              <w:t>También es o</w:t>
            </w:r>
            <w:r w:rsidR="00041BB8">
              <w:rPr>
                <w:rFonts w:ascii="Verdana" w:hAnsi="Verdana"/>
                <w:color w:val="000000"/>
                <w:sz w:val="20"/>
                <w:szCs w:val="20"/>
              </w:rPr>
              <w:t xml:space="preserve">bligatorio para </w:t>
            </w:r>
            <w:r w:rsidR="00F36248">
              <w:rPr>
                <w:rFonts w:ascii="Verdana" w:hAnsi="Verdana"/>
                <w:color w:val="000000"/>
                <w:sz w:val="20"/>
                <w:szCs w:val="20"/>
              </w:rPr>
              <w:t>el reporte de que trata</w:t>
            </w:r>
            <w:r w:rsidR="00F77733">
              <w:rPr>
                <w:rFonts w:ascii="Verdana" w:hAnsi="Verdana"/>
                <w:color w:val="000000"/>
                <w:sz w:val="20"/>
                <w:szCs w:val="20"/>
              </w:rPr>
              <w:t>n</w:t>
            </w:r>
            <w:r w:rsidR="00F36248">
              <w:rPr>
                <w:rFonts w:ascii="Verdana" w:hAnsi="Verdana"/>
                <w:color w:val="000000"/>
                <w:sz w:val="20"/>
                <w:szCs w:val="20"/>
              </w:rPr>
              <w:t xml:space="preserve"> </w:t>
            </w:r>
            <w:r w:rsidR="00F06D09">
              <w:rPr>
                <w:rFonts w:ascii="Verdana" w:hAnsi="Verdana"/>
                <w:color w:val="000000"/>
                <w:sz w:val="20"/>
                <w:szCs w:val="20"/>
              </w:rPr>
              <w:t xml:space="preserve">los numerales </w:t>
            </w:r>
            <w:r w:rsidR="00D94893">
              <w:rPr>
                <w:rFonts w:ascii="Verdana" w:hAnsi="Verdana"/>
                <w:color w:val="000000"/>
                <w:sz w:val="20"/>
                <w:szCs w:val="20"/>
              </w:rPr>
              <w:t xml:space="preserve">14 (ii), </w:t>
            </w:r>
            <w:r w:rsidR="00F36248">
              <w:rPr>
                <w:rFonts w:ascii="Verdana" w:hAnsi="Verdana"/>
                <w:color w:val="000000"/>
                <w:sz w:val="20"/>
                <w:szCs w:val="20"/>
              </w:rPr>
              <w:t>15</w:t>
            </w:r>
            <w:r w:rsidR="00C47BEE">
              <w:rPr>
                <w:rFonts w:ascii="Verdana" w:hAnsi="Verdana"/>
                <w:color w:val="000000"/>
                <w:sz w:val="20"/>
                <w:szCs w:val="20"/>
              </w:rPr>
              <w:t>,</w:t>
            </w:r>
            <w:r w:rsidR="0097264A">
              <w:rPr>
                <w:rFonts w:ascii="Verdana" w:hAnsi="Verdana"/>
                <w:color w:val="000000"/>
                <w:sz w:val="20"/>
                <w:szCs w:val="20"/>
              </w:rPr>
              <w:t xml:space="preserve"> </w:t>
            </w:r>
            <w:r w:rsidR="00C47BEE">
              <w:rPr>
                <w:rFonts w:ascii="Verdana" w:hAnsi="Verdana"/>
                <w:color w:val="000000"/>
                <w:sz w:val="20"/>
                <w:szCs w:val="20"/>
              </w:rPr>
              <w:t>16,</w:t>
            </w:r>
            <w:r w:rsidR="0097264A">
              <w:rPr>
                <w:rFonts w:ascii="Verdana" w:hAnsi="Verdana"/>
                <w:color w:val="000000"/>
                <w:sz w:val="20"/>
                <w:szCs w:val="20"/>
              </w:rPr>
              <w:t xml:space="preserve"> </w:t>
            </w:r>
            <w:r w:rsidR="00C47BEE">
              <w:rPr>
                <w:rFonts w:ascii="Verdana" w:hAnsi="Verdana"/>
                <w:color w:val="000000"/>
                <w:sz w:val="20"/>
                <w:szCs w:val="20"/>
              </w:rPr>
              <w:t>17</w:t>
            </w:r>
            <w:r w:rsidR="00E402F2">
              <w:rPr>
                <w:rFonts w:ascii="Verdana" w:hAnsi="Verdana"/>
                <w:color w:val="000000"/>
                <w:sz w:val="20"/>
                <w:szCs w:val="20"/>
              </w:rPr>
              <w:t>,</w:t>
            </w:r>
            <w:r w:rsidR="00F77733">
              <w:rPr>
                <w:rFonts w:ascii="Verdana" w:hAnsi="Verdana"/>
                <w:color w:val="000000"/>
                <w:sz w:val="20"/>
                <w:szCs w:val="20"/>
              </w:rPr>
              <w:t>18</w:t>
            </w:r>
            <w:r w:rsidR="00E402F2">
              <w:rPr>
                <w:rFonts w:ascii="Verdana" w:hAnsi="Verdana"/>
                <w:color w:val="000000"/>
                <w:sz w:val="20"/>
                <w:szCs w:val="20"/>
              </w:rPr>
              <w:t xml:space="preserve"> </w:t>
            </w:r>
            <w:r w:rsidR="00EA48AD">
              <w:rPr>
                <w:rFonts w:ascii="Verdana" w:hAnsi="Verdana"/>
                <w:color w:val="000000"/>
                <w:sz w:val="20"/>
                <w:szCs w:val="20"/>
              </w:rPr>
              <w:t>y</w:t>
            </w:r>
            <w:r w:rsidR="00E402F2">
              <w:rPr>
                <w:rFonts w:ascii="Verdana" w:hAnsi="Verdana"/>
                <w:color w:val="000000"/>
                <w:sz w:val="20"/>
                <w:szCs w:val="20"/>
              </w:rPr>
              <w:t xml:space="preserve"> 31</w:t>
            </w:r>
            <w:r w:rsidR="00F36248">
              <w:rPr>
                <w:rFonts w:ascii="Verdana" w:hAnsi="Verdana"/>
                <w:color w:val="000000"/>
                <w:sz w:val="20"/>
                <w:szCs w:val="20"/>
              </w:rPr>
              <w:t xml:space="preserve"> de las </w:t>
            </w:r>
            <w:r w:rsidR="00F36248" w:rsidRPr="00422DCE">
              <w:rPr>
                <w:rFonts w:ascii="Verdana" w:hAnsi="Verdana"/>
                <w:bCs/>
                <w:sz w:val="20"/>
                <w:szCs w:val="20"/>
              </w:rPr>
              <w:t>«</w:t>
            </w:r>
            <w:r w:rsidR="00F36248" w:rsidRPr="00075DE0">
              <w:rPr>
                <w:rFonts w:ascii="Verdana" w:hAnsi="Verdana"/>
                <w:bCs/>
                <w:sz w:val="20"/>
                <w:szCs w:val="20"/>
              </w:rPr>
              <w:t>Re</w:t>
            </w:r>
            <w:r w:rsidR="00F36248">
              <w:rPr>
                <w:rFonts w:ascii="Verdana" w:hAnsi="Verdana"/>
                <w:bCs/>
                <w:sz w:val="20"/>
                <w:szCs w:val="20"/>
              </w:rPr>
              <w:t>glas generales de diligenciamiento</w:t>
            </w:r>
            <w:r w:rsidR="00F36248" w:rsidRPr="00BD40EF">
              <w:rPr>
                <w:rFonts w:ascii="Verdana" w:hAnsi="Verdana"/>
                <w:bCs/>
                <w:sz w:val="20"/>
                <w:szCs w:val="20"/>
              </w:rPr>
              <w:t>»</w:t>
            </w:r>
            <w:r w:rsidR="00F36248">
              <w:rPr>
                <w:rFonts w:ascii="Verdana" w:hAnsi="Verdana"/>
                <w:bCs/>
                <w:sz w:val="20"/>
                <w:szCs w:val="20"/>
              </w:rPr>
              <w:t xml:space="preserve"> del presente documento.</w:t>
            </w:r>
          </w:p>
          <w:p w14:paraId="1029B85A" w14:textId="77777777" w:rsidR="008D1073" w:rsidRPr="00A83864" w:rsidRDefault="008D1073" w:rsidP="00041BB8">
            <w:pPr>
              <w:jc w:val="both"/>
              <w:outlineLvl w:val="0"/>
              <w:rPr>
                <w:rFonts w:ascii="Verdana" w:hAnsi="Verdana"/>
                <w:color w:val="000000"/>
                <w:sz w:val="20"/>
                <w:szCs w:val="20"/>
              </w:rPr>
            </w:pPr>
          </w:p>
          <w:p w14:paraId="151A310B" w14:textId="4A77EB28" w:rsidR="00041BB8" w:rsidRPr="00663431" w:rsidRDefault="00041BB8" w:rsidP="00663431">
            <w:pPr>
              <w:jc w:val="both"/>
              <w:outlineLvl w:val="0"/>
              <w:rPr>
                <w:rFonts w:ascii="Verdana" w:eastAsia="Times New Roman" w:hAnsi="Verdana" w:cs="Calibri"/>
                <w:i/>
                <w:iCs/>
                <w:color w:val="000000"/>
                <w:sz w:val="20"/>
                <w:szCs w:val="20"/>
                <w:lang w:eastAsia="es-CO"/>
              </w:rPr>
            </w:pPr>
          </w:p>
        </w:tc>
      </w:tr>
      <w:tr w:rsidR="004907F8" w:rsidRPr="00663431" w14:paraId="2B74A668" w14:textId="77777777" w:rsidTr="4923CE6A">
        <w:trPr>
          <w:trHeight w:val="2687"/>
        </w:trPr>
        <w:tc>
          <w:tcPr>
            <w:tcW w:w="1647" w:type="dxa"/>
            <w:vAlign w:val="center"/>
          </w:tcPr>
          <w:p w14:paraId="6A316BE6" w14:textId="416FFB74" w:rsidR="004907F8" w:rsidRPr="00663431" w:rsidRDefault="006E6451" w:rsidP="00663431">
            <w:pPr>
              <w:autoSpaceDE w:val="0"/>
              <w:autoSpaceDN w:val="0"/>
              <w:adjustRightInd w:val="0"/>
              <w:jc w:val="center"/>
              <w:rPr>
                <w:rFonts w:ascii="Verdana" w:hAnsi="Verdana" w:cs="Verdana"/>
                <w:sz w:val="20"/>
                <w:szCs w:val="20"/>
              </w:rPr>
            </w:pPr>
            <w:r w:rsidRPr="006E6451">
              <w:rPr>
                <w:rFonts w:ascii="Verdana" w:hAnsi="Verdana" w:cs="Verdana"/>
                <w:sz w:val="20"/>
                <w:szCs w:val="20"/>
              </w:rPr>
              <w:lastRenderedPageBreak/>
              <w:t>Código de identificación del negocio, vehículo o universalidad</w:t>
            </w:r>
          </w:p>
        </w:tc>
        <w:tc>
          <w:tcPr>
            <w:tcW w:w="3177" w:type="dxa"/>
            <w:vAlign w:val="center"/>
          </w:tcPr>
          <w:p w14:paraId="0505483A" w14:textId="4AA120F0" w:rsidR="004907F8" w:rsidRPr="00663431" w:rsidRDefault="006E6451" w:rsidP="00663431">
            <w:pPr>
              <w:jc w:val="center"/>
              <w:rPr>
                <w:rFonts w:ascii="Verdana" w:hAnsi="Verdana" w:cs="Verdana"/>
                <w:sz w:val="20"/>
                <w:szCs w:val="20"/>
              </w:rPr>
            </w:pPr>
            <w:r w:rsidRPr="006E6451">
              <w:rPr>
                <w:rFonts w:ascii="Verdana" w:hAnsi="Verdana" w:cs="Verdana"/>
                <w:sz w:val="20"/>
                <w:szCs w:val="20"/>
              </w:rPr>
              <w:t>identificacion_negocio_vehiculo_universalidad</w:t>
            </w:r>
          </w:p>
        </w:tc>
        <w:tc>
          <w:tcPr>
            <w:tcW w:w="4243" w:type="dxa"/>
            <w:vAlign w:val="center"/>
          </w:tcPr>
          <w:p w14:paraId="7900803C" w14:textId="77A33C92"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Para el caso del reporte por cuenta de negocios fiduciarios que administren cartera originada por establecimientos de crédito</w:t>
            </w:r>
            <w:r w:rsidR="005A44B6">
              <w:rPr>
                <w:rFonts w:ascii="Verdana" w:eastAsia="Times New Roman" w:hAnsi="Verdana" w:cs="Calibri"/>
                <w:color w:val="000000"/>
                <w:sz w:val="20"/>
                <w:szCs w:val="20"/>
                <w:lang w:eastAsia="es-CO"/>
              </w:rPr>
              <w:t>,</w:t>
            </w:r>
            <w:r w:rsidRPr="00771F6E">
              <w:rPr>
                <w:rFonts w:ascii="Verdana" w:eastAsia="Times New Roman" w:hAnsi="Verdana" w:cs="Calibri"/>
                <w:color w:val="000000"/>
                <w:sz w:val="20"/>
                <w:szCs w:val="20"/>
                <w:lang w:eastAsia="es-CO"/>
              </w:rPr>
              <w:t xml:space="preserve"> </w:t>
            </w:r>
            <w:r w:rsidR="004A0C3D">
              <w:rPr>
                <w:rFonts w:ascii="Verdana" w:eastAsia="Times New Roman" w:hAnsi="Verdana" w:cs="Calibri"/>
                <w:color w:val="000000"/>
                <w:sz w:val="20"/>
                <w:szCs w:val="20"/>
                <w:lang w:eastAsia="es-CO"/>
              </w:rPr>
              <w:t xml:space="preserve">y </w:t>
            </w:r>
            <w:r w:rsidRPr="00771F6E">
              <w:rPr>
                <w:rFonts w:ascii="Verdana" w:eastAsia="Times New Roman" w:hAnsi="Verdana" w:cs="Calibri"/>
                <w:color w:val="000000"/>
                <w:sz w:val="20"/>
                <w:szCs w:val="20"/>
                <w:lang w:eastAsia="es-CO"/>
              </w:rPr>
              <w:t>fondos de capital de privado que originan cartera, registre el código del negocio fiduciario</w:t>
            </w:r>
            <w:r w:rsidR="005533D5">
              <w:rPr>
                <w:rFonts w:ascii="Verdana" w:eastAsia="Times New Roman" w:hAnsi="Verdana" w:cs="Calibri"/>
                <w:color w:val="000000"/>
                <w:sz w:val="20"/>
                <w:szCs w:val="20"/>
                <w:lang w:eastAsia="es-CO"/>
              </w:rPr>
              <w:t xml:space="preserve">, fondo o </w:t>
            </w:r>
            <w:r w:rsidR="008F0656">
              <w:rPr>
                <w:rFonts w:ascii="Verdana" w:eastAsia="Times New Roman" w:hAnsi="Verdana" w:cs="Calibri"/>
                <w:color w:val="000000"/>
                <w:sz w:val="20"/>
                <w:szCs w:val="20"/>
                <w:lang w:eastAsia="es-CO"/>
              </w:rPr>
              <w:t>compartimento</w:t>
            </w:r>
            <w:r w:rsidR="00C11C92">
              <w:rPr>
                <w:rFonts w:ascii="Verdana" w:eastAsia="Times New Roman" w:hAnsi="Verdana" w:cs="Calibri"/>
                <w:color w:val="000000"/>
                <w:sz w:val="20"/>
                <w:szCs w:val="20"/>
                <w:lang w:eastAsia="es-CO"/>
              </w:rPr>
              <w:t xml:space="preserve"> en caso de estar </w:t>
            </w:r>
            <w:r w:rsidR="00C024B4">
              <w:rPr>
                <w:rFonts w:ascii="Verdana" w:eastAsia="Times New Roman" w:hAnsi="Verdana" w:cs="Calibri"/>
                <w:color w:val="000000"/>
                <w:sz w:val="20"/>
                <w:szCs w:val="20"/>
                <w:lang w:eastAsia="es-CO"/>
              </w:rPr>
              <w:t>constituido de esta forma,</w:t>
            </w:r>
            <w:r w:rsidR="008F0656">
              <w:rPr>
                <w:rFonts w:ascii="Verdana" w:eastAsia="Times New Roman" w:hAnsi="Verdana" w:cs="Calibri"/>
                <w:color w:val="000000"/>
                <w:sz w:val="20"/>
                <w:szCs w:val="20"/>
                <w:lang w:eastAsia="es-CO"/>
              </w:rPr>
              <w:t xml:space="preserve"> </w:t>
            </w:r>
            <w:r w:rsidR="008F0656" w:rsidRPr="00771F6E">
              <w:rPr>
                <w:rFonts w:ascii="Verdana" w:eastAsia="Times New Roman" w:hAnsi="Verdana" w:cs="Calibri"/>
                <w:color w:val="000000"/>
                <w:sz w:val="20"/>
                <w:szCs w:val="20"/>
                <w:lang w:eastAsia="es-CO"/>
              </w:rPr>
              <w:t>registrado</w:t>
            </w:r>
            <w:r w:rsidRPr="00771F6E">
              <w:rPr>
                <w:rFonts w:ascii="Verdana" w:eastAsia="Times New Roman" w:hAnsi="Verdana" w:cs="Calibri"/>
                <w:color w:val="000000"/>
                <w:sz w:val="20"/>
                <w:szCs w:val="20"/>
                <w:lang w:eastAsia="es-CO"/>
              </w:rPr>
              <w:t xml:space="preserve"> en la SFC, de acuerdo con la siguiente codificación:</w:t>
            </w:r>
          </w:p>
          <w:p w14:paraId="23446427"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 xml:space="preserve"> </w:t>
            </w:r>
          </w:p>
          <w:p w14:paraId="428B3611" w14:textId="77777777" w:rsidR="00E64415"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 xml:space="preserve">TTTCCCTTTCCCCCC </w:t>
            </w:r>
          </w:p>
          <w:p w14:paraId="54977EA8" w14:textId="77777777" w:rsidR="00E64415" w:rsidRDefault="00E64415" w:rsidP="00771F6E">
            <w:pPr>
              <w:jc w:val="both"/>
              <w:rPr>
                <w:rFonts w:ascii="Verdana" w:eastAsia="Times New Roman" w:hAnsi="Verdana" w:cs="Calibri"/>
                <w:color w:val="000000"/>
                <w:sz w:val="20"/>
                <w:szCs w:val="20"/>
                <w:lang w:eastAsia="es-CO"/>
              </w:rPr>
            </w:pPr>
          </w:p>
          <w:p w14:paraId="11C2E471" w14:textId="4589DAB0"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donde:</w:t>
            </w:r>
          </w:p>
          <w:p w14:paraId="6745DA66" w14:textId="77777777" w:rsidR="00E64415" w:rsidRDefault="00E64415" w:rsidP="00771F6E">
            <w:pPr>
              <w:jc w:val="both"/>
              <w:rPr>
                <w:rFonts w:ascii="Verdana" w:eastAsia="Times New Roman" w:hAnsi="Verdana" w:cs="Calibri"/>
                <w:color w:val="000000"/>
                <w:sz w:val="20"/>
                <w:szCs w:val="20"/>
                <w:lang w:eastAsia="es-CO"/>
              </w:rPr>
            </w:pPr>
          </w:p>
          <w:p w14:paraId="7CC28655" w14:textId="173BAC18"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TTT:</w:t>
            </w:r>
          </w:p>
          <w:p w14:paraId="4DA86F6D"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Corresponde al tipo de entidad administradora del vehículo respectivo, según lo señalado por la SFC.</w:t>
            </w:r>
          </w:p>
          <w:p w14:paraId="51C78EE0"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CCC:</w:t>
            </w:r>
          </w:p>
          <w:p w14:paraId="6FC0FEE3"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Corresponde al código de la entidad administradora del vehículo, según lo señalado por la SFC.</w:t>
            </w:r>
          </w:p>
          <w:p w14:paraId="59FF50A9"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TTT:</w:t>
            </w:r>
          </w:p>
          <w:p w14:paraId="32C64986"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Corresponde al tipo de vehículo inscrito en el módulo de registro de negocios de la SFC, por la entidad administradora del vehículo, según el numeral 3 de la parte I del título IV del capítulo VI de la CBJ de la SFC.</w:t>
            </w:r>
          </w:p>
          <w:p w14:paraId="7BFF6342"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CCCCCC:</w:t>
            </w:r>
          </w:p>
          <w:p w14:paraId="0F8FC30E"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lastRenderedPageBreak/>
              <w:t>Corresponde al código del vehículo respectivo inscrito en el módulo de registro de negocios de la SFC, por la entidad administradora del vehículo.</w:t>
            </w:r>
          </w:p>
          <w:p w14:paraId="193AAF1A"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 xml:space="preserve"> </w:t>
            </w:r>
          </w:p>
          <w:p w14:paraId="2C2C3CB0" w14:textId="3A5CB4F9" w:rsidR="004A0C3D"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 xml:space="preserve">Cuando el reporte corresponda a la cartera de crédito en </w:t>
            </w:r>
            <w:r w:rsidR="004A0C3D">
              <w:rPr>
                <w:rFonts w:ascii="Verdana" w:eastAsia="Times New Roman" w:hAnsi="Verdana" w:cs="Calibri"/>
                <w:color w:val="000000"/>
                <w:sz w:val="20"/>
                <w:szCs w:val="20"/>
                <w:lang w:eastAsia="es-CO"/>
              </w:rPr>
              <w:t>u</w:t>
            </w:r>
            <w:r w:rsidRPr="00771F6E">
              <w:rPr>
                <w:rFonts w:ascii="Verdana" w:eastAsia="Times New Roman" w:hAnsi="Verdana" w:cs="Calibri"/>
                <w:color w:val="000000"/>
                <w:sz w:val="20"/>
                <w:szCs w:val="20"/>
                <w:lang w:eastAsia="es-CO"/>
              </w:rPr>
              <w:t xml:space="preserve">niversalidades, </w:t>
            </w:r>
            <w:r w:rsidR="004A0C3D">
              <w:rPr>
                <w:rFonts w:ascii="Verdana" w:eastAsia="Times New Roman" w:hAnsi="Verdana" w:cs="Calibri"/>
                <w:color w:val="000000"/>
                <w:sz w:val="20"/>
                <w:szCs w:val="20"/>
                <w:lang w:eastAsia="es-CO"/>
              </w:rPr>
              <w:t xml:space="preserve">debe utilizarse la </w:t>
            </w:r>
            <w:r w:rsidR="008F0656">
              <w:rPr>
                <w:rFonts w:ascii="Verdana" w:eastAsia="Times New Roman" w:hAnsi="Verdana" w:cs="Calibri"/>
                <w:color w:val="000000"/>
                <w:sz w:val="20"/>
                <w:szCs w:val="20"/>
                <w:lang w:eastAsia="es-CO"/>
              </w:rPr>
              <w:t>siguiente</w:t>
            </w:r>
            <w:r w:rsidR="008F0656" w:rsidRPr="00771F6E">
              <w:rPr>
                <w:rFonts w:ascii="Verdana" w:eastAsia="Times New Roman" w:hAnsi="Verdana" w:cs="Calibri"/>
                <w:color w:val="000000"/>
                <w:sz w:val="20"/>
                <w:szCs w:val="20"/>
                <w:lang w:eastAsia="es-CO"/>
              </w:rPr>
              <w:t xml:space="preserve"> codificación</w:t>
            </w:r>
            <w:r w:rsidR="004A0C3D">
              <w:rPr>
                <w:rFonts w:ascii="Verdana" w:eastAsia="Times New Roman" w:hAnsi="Verdana" w:cs="Calibri"/>
                <w:color w:val="000000"/>
                <w:sz w:val="20"/>
                <w:szCs w:val="20"/>
                <w:lang w:eastAsia="es-CO"/>
              </w:rPr>
              <w:t>:</w:t>
            </w:r>
          </w:p>
          <w:p w14:paraId="35D77C78" w14:textId="397213A3" w:rsidR="004A0C3D" w:rsidRPr="00771F6E" w:rsidRDefault="004A0C3D" w:rsidP="004A0C3D">
            <w:pPr>
              <w:jc w:val="both"/>
              <w:rPr>
                <w:rFonts w:ascii="Verdana" w:eastAsia="Times New Roman" w:hAnsi="Verdana" w:cs="Calibri"/>
                <w:color w:val="000000"/>
                <w:sz w:val="20"/>
                <w:szCs w:val="20"/>
                <w:lang w:eastAsia="es-CO"/>
              </w:rPr>
            </w:pPr>
          </w:p>
          <w:p w14:paraId="26CEE51B" w14:textId="28C27457" w:rsidR="004A0C3D" w:rsidRDefault="004A0C3D" w:rsidP="004A0C3D">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TTTCCCTTT</w:t>
            </w:r>
            <w:r w:rsidR="00C010DE" w:rsidRPr="00771F6E">
              <w:rPr>
                <w:rFonts w:ascii="Verdana" w:eastAsia="Times New Roman" w:hAnsi="Verdana" w:cs="Calibri"/>
                <w:color w:val="000000"/>
                <w:sz w:val="20"/>
                <w:szCs w:val="20"/>
                <w:lang w:eastAsia="es-CO"/>
              </w:rPr>
              <w:t>NNNNNNNNNNNN</w:t>
            </w:r>
            <w:r w:rsidR="00C010DE" w:rsidRPr="00771F6E" w:rsidDel="00C010DE">
              <w:rPr>
                <w:rFonts w:ascii="Verdana" w:eastAsia="Times New Roman" w:hAnsi="Verdana" w:cs="Calibri"/>
                <w:color w:val="000000"/>
                <w:sz w:val="20"/>
                <w:szCs w:val="20"/>
                <w:lang w:eastAsia="es-CO"/>
              </w:rPr>
              <w:t xml:space="preserve"> </w:t>
            </w:r>
            <w:r w:rsidRPr="00771F6E">
              <w:rPr>
                <w:rFonts w:ascii="Verdana" w:eastAsia="Times New Roman" w:hAnsi="Verdana" w:cs="Calibri"/>
                <w:color w:val="000000"/>
                <w:sz w:val="20"/>
                <w:szCs w:val="20"/>
                <w:lang w:eastAsia="es-CO"/>
              </w:rPr>
              <w:t xml:space="preserve"> </w:t>
            </w:r>
          </w:p>
          <w:p w14:paraId="7B5C4911" w14:textId="676463D9"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 xml:space="preserve"> </w:t>
            </w:r>
          </w:p>
          <w:p w14:paraId="2FB32CB7" w14:textId="34D82D1F"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TTT: tres caracteres corresponden al tipo de Entidad</w:t>
            </w:r>
          </w:p>
          <w:p w14:paraId="07C735F6"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CCC tres caracteres corresponden al Código de Entidad</w:t>
            </w:r>
          </w:p>
          <w:p w14:paraId="006DCACE"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TTT: tres caracteres corresponden al tipo de vehículo</w:t>
            </w:r>
          </w:p>
          <w:p w14:paraId="0F09E94D" w14:textId="7A343DFE"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 xml:space="preserve">NNNNNNNNNNNN: doce caracteres corresponden al código ANN del título valor </w:t>
            </w:r>
            <w:r w:rsidR="004A0C3D">
              <w:rPr>
                <w:rFonts w:ascii="Verdana" w:eastAsia="Times New Roman" w:hAnsi="Verdana" w:cs="Calibri"/>
                <w:color w:val="000000"/>
                <w:sz w:val="20"/>
                <w:szCs w:val="20"/>
                <w:lang w:eastAsia="es-CO"/>
              </w:rPr>
              <w:t>i</w:t>
            </w:r>
            <w:r w:rsidRPr="00771F6E">
              <w:rPr>
                <w:rFonts w:ascii="Verdana" w:eastAsia="Times New Roman" w:hAnsi="Verdana" w:cs="Calibri"/>
                <w:color w:val="000000"/>
                <w:sz w:val="20"/>
                <w:szCs w:val="20"/>
                <w:lang w:eastAsia="es-CO"/>
              </w:rPr>
              <w:t>nscrito</w:t>
            </w:r>
            <w:r w:rsidR="008F0656">
              <w:rPr>
                <w:rFonts w:ascii="Verdana" w:eastAsia="Times New Roman" w:hAnsi="Verdana" w:cs="Calibri"/>
                <w:color w:val="000000"/>
                <w:sz w:val="20"/>
                <w:szCs w:val="20"/>
                <w:lang w:eastAsia="es-CO"/>
              </w:rPr>
              <w:t>.</w:t>
            </w:r>
          </w:p>
          <w:p w14:paraId="0A47E5C0" w14:textId="77777777" w:rsidR="00771F6E" w:rsidRPr="00771F6E" w:rsidRDefault="00771F6E" w:rsidP="00771F6E">
            <w:pPr>
              <w:jc w:val="both"/>
              <w:rPr>
                <w:rFonts w:ascii="Verdana" w:eastAsia="Times New Roman" w:hAnsi="Verdana" w:cs="Calibri"/>
                <w:color w:val="000000"/>
                <w:sz w:val="20"/>
                <w:szCs w:val="20"/>
                <w:lang w:eastAsia="es-CO"/>
              </w:rPr>
            </w:pPr>
            <w:r w:rsidRPr="00771F6E">
              <w:rPr>
                <w:rFonts w:ascii="Verdana" w:eastAsia="Times New Roman" w:hAnsi="Verdana" w:cs="Calibri"/>
                <w:color w:val="000000"/>
                <w:sz w:val="20"/>
                <w:szCs w:val="20"/>
                <w:lang w:eastAsia="es-CO"/>
              </w:rPr>
              <w:t xml:space="preserve"> </w:t>
            </w:r>
          </w:p>
          <w:p w14:paraId="36B07B3D" w14:textId="2D7F04FC" w:rsidR="004907F8" w:rsidRPr="00663431" w:rsidRDefault="00AA451B" w:rsidP="00771F6E">
            <w:pPr>
              <w:jc w:val="both"/>
              <w:rPr>
                <w:rFonts w:ascii="Verdana" w:eastAsia="Times New Roman" w:hAnsi="Verdana" w:cs="Calibri"/>
                <w:color w:val="000000"/>
                <w:sz w:val="20"/>
                <w:szCs w:val="20"/>
                <w:lang w:eastAsia="es-CO"/>
              </w:rPr>
            </w:pPr>
            <w:r>
              <w:rPr>
                <w:rFonts w:ascii="Verdana" w:hAnsi="Verdana"/>
                <w:color w:val="000000"/>
                <w:sz w:val="20"/>
                <w:szCs w:val="20"/>
              </w:rPr>
              <w:t xml:space="preserve">También es </w:t>
            </w:r>
            <w:r>
              <w:rPr>
                <w:rFonts w:ascii="Verdana" w:eastAsia="Times New Roman" w:hAnsi="Verdana" w:cs="Calibri"/>
                <w:color w:val="000000"/>
                <w:sz w:val="20"/>
                <w:szCs w:val="20"/>
                <w:lang w:eastAsia="es-CO"/>
              </w:rPr>
              <w:t>o</w:t>
            </w:r>
            <w:r w:rsidR="00771F6E" w:rsidRPr="00771F6E">
              <w:rPr>
                <w:rFonts w:ascii="Verdana" w:eastAsia="Times New Roman" w:hAnsi="Verdana" w:cs="Calibri"/>
                <w:color w:val="000000"/>
                <w:sz w:val="20"/>
                <w:szCs w:val="20"/>
                <w:lang w:eastAsia="es-CO"/>
              </w:rPr>
              <w:t>bligatorio para el reporte de que tratan los numerales 14</w:t>
            </w:r>
            <w:r w:rsidR="00A60551">
              <w:rPr>
                <w:rFonts w:ascii="Verdana" w:eastAsia="Times New Roman" w:hAnsi="Verdana" w:cs="Calibri"/>
                <w:color w:val="000000"/>
                <w:sz w:val="20"/>
                <w:szCs w:val="20"/>
                <w:lang w:eastAsia="es-CO"/>
              </w:rPr>
              <w:t xml:space="preserve"> (ii)</w:t>
            </w:r>
            <w:r w:rsidR="00771F6E" w:rsidRPr="00771F6E">
              <w:rPr>
                <w:rFonts w:ascii="Verdana" w:eastAsia="Times New Roman" w:hAnsi="Verdana" w:cs="Calibri"/>
                <w:color w:val="000000"/>
                <w:sz w:val="20"/>
                <w:szCs w:val="20"/>
                <w:lang w:eastAsia="es-CO"/>
              </w:rPr>
              <w:t>, 15</w:t>
            </w:r>
            <w:r w:rsidR="00116CB3">
              <w:rPr>
                <w:rFonts w:ascii="Verdana" w:eastAsia="Times New Roman" w:hAnsi="Verdana" w:cs="Calibri"/>
                <w:color w:val="000000"/>
                <w:sz w:val="20"/>
                <w:szCs w:val="20"/>
                <w:lang w:eastAsia="es-CO"/>
              </w:rPr>
              <w:t xml:space="preserve"> y</w:t>
            </w:r>
            <w:r w:rsidR="001573C8">
              <w:rPr>
                <w:rFonts w:ascii="Verdana" w:eastAsia="Times New Roman" w:hAnsi="Verdana" w:cs="Calibri"/>
                <w:color w:val="000000"/>
                <w:sz w:val="20"/>
                <w:szCs w:val="20"/>
                <w:lang w:eastAsia="es-CO"/>
              </w:rPr>
              <w:t xml:space="preserve"> </w:t>
            </w:r>
            <w:r w:rsidR="00771F6E" w:rsidRPr="00771F6E">
              <w:rPr>
                <w:rFonts w:ascii="Verdana" w:eastAsia="Times New Roman" w:hAnsi="Verdana" w:cs="Calibri"/>
                <w:color w:val="000000"/>
                <w:sz w:val="20"/>
                <w:szCs w:val="20"/>
                <w:lang w:eastAsia="es-CO"/>
              </w:rPr>
              <w:t>18</w:t>
            </w:r>
            <w:r w:rsidR="00E402F2">
              <w:rPr>
                <w:rFonts w:ascii="Verdana" w:eastAsia="Times New Roman" w:hAnsi="Verdana" w:cs="Calibri"/>
                <w:color w:val="000000"/>
                <w:sz w:val="20"/>
                <w:szCs w:val="20"/>
                <w:lang w:eastAsia="es-CO"/>
              </w:rPr>
              <w:t xml:space="preserve"> </w:t>
            </w:r>
            <w:r w:rsidR="00771F6E" w:rsidRPr="00771F6E">
              <w:rPr>
                <w:rFonts w:ascii="Verdana" w:eastAsia="Times New Roman" w:hAnsi="Verdana" w:cs="Calibri"/>
                <w:color w:val="000000"/>
                <w:sz w:val="20"/>
                <w:szCs w:val="20"/>
                <w:lang w:eastAsia="es-CO"/>
              </w:rPr>
              <w:t>de las «Reglas generales de diligenciamiento» del presente documento.</w:t>
            </w:r>
          </w:p>
        </w:tc>
      </w:tr>
      <w:tr w:rsidR="00663431" w:rsidRPr="00663431" w14:paraId="1A4ED827" w14:textId="77777777" w:rsidTr="4923CE6A">
        <w:trPr>
          <w:trHeight w:val="2687"/>
        </w:trPr>
        <w:tc>
          <w:tcPr>
            <w:tcW w:w="1647" w:type="dxa"/>
            <w:vAlign w:val="center"/>
            <w:hideMark/>
          </w:tcPr>
          <w:p w14:paraId="24AF2A87"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lastRenderedPageBreak/>
              <w:t>Tipo identificación</w:t>
            </w:r>
          </w:p>
          <w:p w14:paraId="06F84541" w14:textId="6EFF5395" w:rsidR="00663431" w:rsidRPr="00663431" w:rsidRDefault="00663431" w:rsidP="00663431">
            <w:pPr>
              <w:jc w:val="center"/>
              <w:rPr>
                <w:rFonts w:ascii="Verdana" w:eastAsia="Times New Roman" w:hAnsi="Verdana" w:cs="Calibri"/>
                <w:sz w:val="20"/>
                <w:szCs w:val="20"/>
                <w:lang w:eastAsia="es-CO"/>
              </w:rPr>
            </w:pPr>
            <w:r w:rsidRPr="00663431">
              <w:rPr>
                <w:rFonts w:ascii="Verdana" w:hAnsi="Verdana" w:cs="Verdana"/>
                <w:sz w:val="20"/>
                <w:szCs w:val="20"/>
              </w:rPr>
              <w:t>deudor</w:t>
            </w:r>
          </w:p>
        </w:tc>
        <w:tc>
          <w:tcPr>
            <w:tcW w:w="3177" w:type="dxa"/>
            <w:vAlign w:val="center"/>
          </w:tcPr>
          <w:p w14:paraId="7D8581F0" w14:textId="47F86B48"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tipo_identificacion</w:t>
            </w:r>
          </w:p>
        </w:tc>
        <w:tc>
          <w:tcPr>
            <w:tcW w:w="4243" w:type="dxa"/>
            <w:vAlign w:val="center"/>
          </w:tcPr>
          <w:p w14:paraId="3C1A1D22" w14:textId="5DC5FB74" w:rsidR="00663431" w:rsidRPr="00663431" w:rsidRDefault="00663431" w:rsidP="00663431">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tipo de documento de identificación del deudor, según la tabla </w:t>
            </w:r>
            <w:r w:rsidRPr="00663431">
              <w:rPr>
                <w:rFonts w:ascii="Verdana" w:hAnsi="Verdana"/>
                <w:bCs/>
                <w:sz w:val="20"/>
                <w:szCs w:val="20"/>
              </w:rPr>
              <w:t>«T</w:t>
            </w:r>
            <w:r w:rsidRPr="00663431">
              <w:rPr>
                <w:rFonts w:ascii="Verdana" w:eastAsia="Times New Roman" w:hAnsi="Verdana" w:cs="Calibri"/>
                <w:color w:val="000000"/>
                <w:sz w:val="20"/>
                <w:szCs w:val="20"/>
                <w:lang w:eastAsia="es-CO"/>
              </w:rPr>
              <w:t>ipo de identificación</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sidR="00645B00">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sidR="00AA6CC8">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 xml:space="preserve">: </w:t>
            </w:r>
          </w:p>
          <w:p w14:paraId="50DC66CF" w14:textId="77777777" w:rsidR="00663431" w:rsidRPr="00663431" w:rsidRDefault="00663431" w:rsidP="00663431">
            <w:pPr>
              <w:jc w:val="both"/>
              <w:rPr>
                <w:rFonts w:ascii="Verdana" w:eastAsia="Times New Roman" w:hAnsi="Verdana" w:cs="Calibri"/>
                <w:color w:val="000000"/>
                <w:sz w:val="20"/>
                <w:szCs w:val="20"/>
                <w:lang w:eastAsia="es-CO"/>
              </w:rPr>
            </w:pPr>
          </w:p>
          <w:p w14:paraId="3445B852" w14:textId="77777777" w:rsidR="00663431" w:rsidRDefault="00663431" w:rsidP="00663431">
            <w:pPr>
              <w:jc w:val="both"/>
              <w:rPr>
                <w:rFonts w:ascii="Verdana" w:eastAsia="Times New Roman" w:hAnsi="Verdana" w:cs="Calibri"/>
                <w:i/>
                <w:iCs/>
                <w:color w:val="000000"/>
                <w:sz w:val="20"/>
                <w:szCs w:val="20"/>
                <w:lang w:eastAsia="es-CO"/>
              </w:rPr>
            </w:pPr>
            <w:r w:rsidRPr="00663431">
              <w:rPr>
                <w:rFonts w:ascii="Verdana" w:eastAsia="Times New Roman" w:hAnsi="Verdana" w:cs="Calibri"/>
                <w:i/>
                <w:iCs/>
                <w:color w:val="000000"/>
                <w:sz w:val="20"/>
                <w:szCs w:val="20"/>
                <w:lang w:eastAsia="es-CO"/>
              </w:rPr>
              <w:t>Inicio</w:t>
            </w:r>
            <w:r w:rsidR="00AA6CC8">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sidR="004173BD">
              <w:rPr>
                <w:rFonts w:ascii="Verdana" w:eastAsia="Times New Roman" w:hAnsi="Verdana" w:cs="Calibri"/>
                <w:i/>
                <w:iCs/>
                <w:color w:val="000000"/>
                <w:sz w:val="20"/>
                <w:szCs w:val="20"/>
                <w:lang w:eastAsia="es-CO"/>
              </w:rPr>
              <w:t xml:space="preserve">Entidades vigiladas y controladas </w:t>
            </w:r>
            <w:r w:rsidRPr="00663431">
              <w:rPr>
                <w:rFonts w:ascii="Verdana" w:eastAsia="Times New Roman" w:hAnsi="Verdana" w:cs="Calibri"/>
                <w:i/>
                <w:iCs/>
                <w:color w:val="000000"/>
                <w:sz w:val="20"/>
                <w:szCs w:val="20"/>
                <w:lang w:eastAsia="es-CO"/>
              </w:rPr>
              <w:t xml:space="preserve">/ </w:t>
            </w:r>
            <w:r w:rsidR="00AA6CC8">
              <w:rPr>
                <w:rFonts w:ascii="Verdana" w:eastAsia="Times New Roman" w:hAnsi="Verdana" w:cs="Calibri"/>
                <w:i/>
                <w:iCs/>
                <w:color w:val="000000"/>
                <w:sz w:val="20"/>
                <w:szCs w:val="20"/>
                <w:lang w:eastAsia="es-CO"/>
              </w:rPr>
              <w:t>I</w:t>
            </w:r>
            <w:r w:rsidRPr="00663431">
              <w:rPr>
                <w:rFonts w:ascii="Verdana" w:eastAsia="Times New Roman" w:hAnsi="Verdana" w:cs="Calibri"/>
                <w:i/>
                <w:iCs/>
                <w:color w:val="000000"/>
                <w:sz w:val="20"/>
                <w:szCs w:val="20"/>
                <w:lang w:eastAsia="es-CO"/>
              </w:rPr>
              <w:t>nterés del vigilado/reportes /</w:t>
            </w:r>
            <w:r w:rsidR="00AA6CC8">
              <w:rPr>
                <w:rFonts w:ascii="Verdana" w:eastAsia="Times New Roman" w:hAnsi="Verdana" w:cs="Calibri"/>
                <w:i/>
                <w:iCs/>
                <w:color w:val="000000"/>
                <w:sz w:val="20"/>
                <w:szCs w:val="20"/>
                <w:lang w:eastAsia="es-CO"/>
              </w:rPr>
              <w:t xml:space="preserve"> Í</w:t>
            </w:r>
            <w:r w:rsidRPr="00663431">
              <w:rPr>
                <w:rFonts w:ascii="Verdana" w:eastAsia="Times New Roman" w:hAnsi="Verdana" w:cs="Calibri"/>
                <w:i/>
                <w:iCs/>
                <w:color w:val="000000"/>
                <w:sz w:val="20"/>
                <w:szCs w:val="20"/>
                <w:lang w:eastAsia="es-CO"/>
              </w:rPr>
              <w:t>ndice de reportes de información a la superintendencia financiera</w:t>
            </w:r>
            <w:r w:rsidR="00AA6CC8">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sidR="00AA6CC8">
              <w:rPr>
                <w:rFonts w:ascii="Verdana" w:eastAsia="Times New Roman" w:hAnsi="Verdana" w:cs="Calibri"/>
                <w:i/>
                <w:iCs/>
                <w:color w:val="000000"/>
                <w:sz w:val="20"/>
                <w:szCs w:val="20"/>
                <w:lang w:eastAsia="es-CO"/>
              </w:rPr>
              <w:t>T</w:t>
            </w:r>
            <w:r w:rsidRPr="00663431">
              <w:rPr>
                <w:rFonts w:ascii="Verdana" w:eastAsia="Times New Roman" w:hAnsi="Verdana" w:cs="Calibri"/>
                <w:i/>
                <w:iCs/>
                <w:color w:val="000000"/>
                <w:sz w:val="20"/>
                <w:szCs w:val="20"/>
                <w:lang w:eastAsia="es-CO"/>
              </w:rPr>
              <w:t>ablas anexas para el reporte de información</w:t>
            </w:r>
            <w:r w:rsidR="0042187D">
              <w:rPr>
                <w:rFonts w:ascii="Verdana" w:eastAsia="Times New Roman" w:hAnsi="Verdana" w:cs="Calibri"/>
                <w:i/>
                <w:iCs/>
                <w:color w:val="000000"/>
                <w:sz w:val="20"/>
                <w:szCs w:val="20"/>
                <w:lang w:eastAsia="es-CO"/>
              </w:rPr>
              <w:t xml:space="preserve"> / Tabla tipo de identificación</w:t>
            </w:r>
          </w:p>
          <w:p w14:paraId="0A481BF5" w14:textId="77777777" w:rsidR="00CC56E0" w:rsidRDefault="00CC56E0" w:rsidP="00663431">
            <w:pPr>
              <w:jc w:val="both"/>
              <w:rPr>
                <w:rFonts w:ascii="Verdana" w:eastAsia="Times New Roman" w:hAnsi="Verdana" w:cs="Calibri"/>
                <w:color w:val="000000"/>
                <w:sz w:val="20"/>
                <w:szCs w:val="20"/>
                <w:lang w:eastAsia="es-CO"/>
              </w:rPr>
            </w:pPr>
          </w:p>
          <w:p w14:paraId="05D6BE4A" w14:textId="1BAD9F90" w:rsidR="00B51B05" w:rsidRPr="00663431" w:rsidRDefault="00AA451B" w:rsidP="001573C8">
            <w:pPr>
              <w:jc w:val="both"/>
              <w:outlineLvl w:val="0"/>
              <w:rPr>
                <w:rFonts w:ascii="Verdana" w:eastAsia="Times New Roman" w:hAnsi="Verdana" w:cs="Calibri"/>
                <w:color w:val="000000"/>
                <w:sz w:val="20"/>
                <w:szCs w:val="20"/>
                <w:lang w:eastAsia="es-CO"/>
              </w:rPr>
            </w:pPr>
            <w:r>
              <w:rPr>
                <w:rFonts w:ascii="Verdana" w:hAnsi="Verdana"/>
                <w:color w:val="000000"/>
                <w:sz w:val="20"/>
                <w:szCs w:val="20"/>
              </w:rPr>
              <w:t>También es o</w:t>
            </w:r>
            <w:r w:rsidR="0097264A">
              <w:rPr>
                <w:rFonts w:ascii="Verdana" w:hAnsi="Verdana"/>
                <w:color w:val="000000"/>
                <w:sz w:val="20"/>
                <w:szCs w:val="20"/>
              </w:rPr>
              <w:t xml:space="preserve">bligatorio para el reporte de que tratan los numerales </w:t>
            </w:r>
            <w:r w:rsidR="00D77784">
              <w:rPr>
                <w:rFonts w:ascii="Verdana" w:hAnsi="Verdana"/>
                <w:color w:val="000000"/>
                <w:sz w:val="20"/>
                <w:szCs w:val="20"/>
              </w:rPr>
              <w:t xml:space="preserve">14 (ii), </w:t>
            </w:r>
            <w:r w:rsidR="0097264A">
              <w:rPr>
                <w:rFonts w:ascii="Verdana" w:hAnsi="Verdana"/>
                <w:color w:val="000000"/>
                <w:sz w:val="20"/>
                <w:szCs w:val="20"/>
              </w:rPr>
              <w:t>15, 16, 17</w:t>
            </w:r>
            <w:r w:rsidR="00E402F2">
              <w:rPr>
                <w:rFonts w:ascii="Verdana" w:hAnsi="Verdana"/>
                <w:color w:val="000000"/>
                <w:sz w:val="20"/>
                <w:szCs w:val="20"/>
              </w:rPr>
              <w:t>,</w:t>
            </w:r>
            <w:r w:rsidR="001573C8">
              <w:rPr>
                <w:rFonts w:ascii="Verdana" w:hAnsi="Verdana"/>
                <w:color w:val="000000"/>
                <w:sz w:val="20"/>
                <w:szCs w:val="20"/>
              </w:rPr>
              <w:t xml:space="preserve"> </w:t>
            </w:r>
            <w:r w:rsidR="0097264A">
              <w:rPr>
                <w:rFonts w:ascii="Verdana" w:hAnsi="Verdana"/>
                <w:color w:val="000000"/>
                <w:sz w:val="20"/>
                <w:szCs w:val="20"/>
              </w:rPr>
              <w:t>18</w:t>
            </w:r>
            <w:r w:rsidR="00E402F2">
              <w:rPr>
                <w:rFonts w:ascii="Verdana" w:hAnsi="Verdana"/>
                <w:color w:val="000000"/>
                <w:sz w:val="20"/>
                <w:szCs w:val="20"/>
              </w:rPr>
              <w:t xml:space="preserve"> </w:t>
            </w:r>
            <w:r w:rsidR="00EA48AD">
              <w:rPr>
                <w:rFonts w:ascii="Verdana" w:hAnsi="Verdana"/>
                <w:color w:val="000000"/>
                <w:sz w:val="20"/>
                <w:szCs w:val="20"/>
              </w:rPr>
              <w:t>y</w:t>
            </w:r>
            <w:r w:rsidR="00E402F2">
              <w:rPr>
                <w:rFonts w:ascii="Verdana" w:hAnsi="Verdana"/>
                <w:color w:val="000000"/>
                <w:sz w:val="20"/>
                <w:szCs w:val="20"/>
              </w:rPr>
              <w:t xml:space="preserve"> 31</w:t>
            </w:r>
            <w:r w:rsidR="0097264A">
              <w:rPr>
                <w:rFonts w:ascii="Verdana" w:hAnsi="Verdana"/>
                <w:color w:val="000000"/>
                <w:sz w:val="20"/>
                <w:szCs w:val="20"/>
              </w:rPr>
              <w:t xml:space="preserve"> de las </w:t>
            </w:r>
            <w:r w:rsidR="0097264A" w:rsidRPr="00422DCE">
              <w:rPr>
                <w:rFonts w:ascii="Verdana" w:hAnsi="Verdana"/>
                <w:bCs/>
                <w:sz w:val="20"/>
                <w:szCs w:val="20"/>
              </w:rPr>
              <w:t>«</w:t>
            </w:r>
            <w:r w:rsidR="0097264A" w:rsidRPr="00075DE0">
              <w:rPr>
                <w:rFonts w:ascii="Verdana" w:hAnsi="Verdana"/>
                <w:bCs/>
                <w:sz w:val="20"/>
                <w:szCs w:val="20"/>
              </w:rPr>
              <w:t>Re</w:t>
            </w:r>
            <w:r w:rsidR="0097264A">
              <w:rPr>
                <w:rFonts w:ascii="Verdana" w:hAnsi="Verdana"/>
                <w:bCs/>
                <w:sz w:val="20"/>
                <w:szCs w:val="20"/>
              </w:rPr>
              <w:t>glas generales de diligenciamiento</w:t>
            </w:r>
            <w:r w:rsidR="0097264A" w:rsidRPr="00BD40EF">
              <w:rPr>
                <w:rFonts w:ascii="Verdana" w:hAnsi="Verdana"/>
                <w:bCs/>
                <w:sz w:val="20"/>
                <w:szCs w:val="20"/>
              </w:rPr>
              <w:t>»</w:t>
            </w:r>
            <w:r w:rsidR="0097264A">
              <w:rPr>
                <w:rFonts w:ascii="Verdana" w:hAnsi="Verdana"/>
                <w:bCs/>
                <w:sz w:val="20"/>
                <w:szCs w:val="20"/>
              </w:rPr>
              <w:t xml:space="preserve"> del presente documento.</w:t>
            </w:r>
          </w:p>
        </w:tc>
      </w:tr>
      <w:tr w:rsidR="00663431" w:rsidRPr="00663431" w14:paraId="5B58EC2E" w14:textId="77777777" w:rsidTr="4923CE6A">
        <w:trPr>
          <w:trHeight w:val="1620"/>
        </w:trPr>
        <w:tc>
          <w:tcPr>
            <w:tcW w:w="1647" w:type="dxa"/>
            <w:vAlign w:val="center"/>
            <w:hideMark/>
          </w:tcPr>
          <w:p w14:paraId="5DC71DA4" w14:textId="30E6FAC1" w:rsidR="00663431" w:rsidRPr="00663431" w:rsidRDefault="00663431" w:rsidP="00663431">
            <w:pPr>
              <w:jc w:val="center"/>
              <w:rPr>
                <w:rFonts w:ascii="Verdana" w:eastAsia="Times New Roman" w:hAnsi="Verdana" w:cs="Calibri"/>
                <w:sz w:val="20"/>
                <w:szCs w:val="20"/>
                <w:lang w:eastAsia="es-CO"/>
              </w:rPr>
            </w:pPr>
            <w:r w:rsidRPr="00663431">
              <w:rPr>
                <w:rFonts w:ascii="Verdana" w:hAnsi="Verdana" w:cs="Verdana"/>
                <w:sz w:val="20"/>
                <w:szCs w:val="20"/>
              </w:rPr>
              <w:lastRenderedPageBreak/>
              <w:t>Número de identificación</w:t>
            </w:r>
          </w:p>
        </w:tc>
        <w:tc>
          <w:tcPr>
            <w:tcW w:w="3177" w:type="dxa"/>
            <w:vAlign w:val="center"/>
          </w:tcPr>
          <w:p w14:paraId="3AC915BD" w14:textId="1A74CC43" w:rsidR="00663431" w:rsidRPr="00663431" w:rsidRDefault="00663431" w:rsidP="00663431">
            <w:pPr>
              <w:jc w:val="center"/>
              <w:rPr>
                <w:rFonts w:ascii="Verdana" w:eastAsia="Times New Roman" w:hAnsi="Verdana" w:cs="Calibri"/>
                <w:color w:val="000000"/>
                <w:sz w:val="20"/>
                <w:szCs w:val="20"/>
                <w:lang w:eastAsia="es-CO"/>
              </w:rPr>
            </w:pPr>
            <w:r w:rsidRPr="00325192">
              <w:rPr>
                <w:rFonts w:ascii="Verdana" w:eastAsia="Times New Roman" w:hAnsi="Verdana" w:cs="Calibri"/>
                <w:color w:val="000000"/>
                <w:sz w:val="20"/>
                <w:szCs w:val="20"/>
                <w:lang w:eastAsia="es-CO"/>
              </w:rPr>
              <w:t>numero_identificacion</w:t>
            </w:r>
          </w:p>
        </w:tc>
        <w:tc>
          <w:tcPr>
            <w:tcW w:w="4243" w:type="dxa"/>
            <w:vAlign w:val="center"/>
          </w:tcPr>
          <w:p w14:paraId="6CE8D40D" w14:textId="77777777" w:rsidR="00642D74" w:rsidRDefault="00663431" w:rsidP="00663431">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número de identificación del deudor asignado por la Registraduría Nacional del Estado Civil, </w:t>
            </w:r>
            <w:r w:rsidR="00E540F0">
              <w:rPr>
                <w:rFonts w:ascii="Verdana" w:eastAsia="Times New Roman" w:hAnsi="Verdana" w:cs="Calibri"/>
                <w:color w:val="000000"/>
                <w:sz w:val="20"/>
                <w:szCs w:val="20"/>
                <w:lang w:eastAsia="es-CO"/>
              </w:rPr>
              <w:t xml:space="preserve">la </w:t>
            </w:r>
            <w:r w:rsidRPr="00663431">
              <w:rPr>
                <w:rFonts w:ascii="Verdana" w:eastAsia="Times New Roman" w:hAnsi="Verdana" w:cs="Calibri"/>
                <w:color w:val="000000"/>
                <w:sz w:val="20"/>
                <w:szCs w:val="20"/>
                <w:lang w:eastAsia="es-CO"/>
              </w:rPr>
              <w:t xml:space="preserve">Dirección de Impuestos y Aduanas Nacionales, o la entidad </w:t>
            </w:r>
            <w:r w:rsidR="00E540F0">
              <w:rPr>
                <w:rFonts w:ascii="Verdana" w:eastAsia="Times New Roman" w:hAnsi="Verdana" w:cs="Calibri"/>
                <w:color w:val="000000"/>
                <w:sz w:val="20"/>
                <w:szCs w:val="20"/>
                <w:lang w:eastAsia="es-CO"/>
              </w:rPr>
              <w:t>competente, según corresponda</w:t>
            </w:r>
            <w:r w:rsidRPr="00663431">
              <w:rPr>
                <w:rFonts w:ascii="Verdana" w:eastAsia="Times New Roman" w:hAnsi="Verdana" w:cs="Calibri"/>
                <w:color w:val="000000"/>
                <w:sz w:val="20"/>
                <w:szCs w:val="20"/>
                <w:lang w:eastAsia="es-CO"/>
              </w:rPr>
              <w:t>.</w:t>
            </w:r>
          </w:p>
          <w:p w14:paraId="3AE27396" w14:textId="77777777" w:rsidR="00642D74" w:rsidRDefault="00642D74" w:rsidP="00663431">
            <w:pPr>
              <w:jc w:val="both"/>
              <w:rPr>
                <w:rFonts w:ascii="Verdana" w:eastAsia="Times New Roman" w:hAnsi="Verdana" w:cs="Calibri"/>
                <w:color w:val="000000"/>
                <w:sz w:val="20"/>
                <w:szCs w:val="20"/>
                <w:lang w:eastAsia="es-CO"/>
              </w:rPr>
            </w:pPr>
          </w:p>
          <w:p w14:paraId="0A79C7A3" w14:textId="77777777" w:rsidR="00663431" w:rsidRDefault="00642D74" w:rsidP="00663431">
            <w:pPr>
              <w:jc w:val="both"/>
              <w:rPr>
                <w:rFonts w:ascii="Verdana" w:eastAsia="Times New Roman" w:hAnsi="Verdana" w:cs="Calibri"/>
                <w:color w:val="000000"/>
                <w:sz w:val="20"/>
                <w:szCs w:val="20"/>
                <w:lang w:eastAsia="es-CO"/>
              </w:rPr>
            </w:pPr>
            <w:r w:rsidRPr="00642D74">
              <w:rPr>
                <w:rFonts w:ascii="Verdana" w:eastAsia="Times New Roman" w:hAnsi="Verdana" w:cs="Calibri"/>
                <w:color w:val="000000"/>
                <w:sz w:val="20"/>
                <w:szCs w:val="20"/>
                <w:lang w:eastAsia="es-CO"/>
              </w:rPr>
              <w:t>Cuando el tipo de identificación corresponda a un NIT, se debe reportar el número sin dígito de verificación.</w:t>
            </w:r>
          </w:p>
          <w:p w14:paraId="1667A5E8" w14:textId="77777777" w:rsidR="00325192" w:rsidRPr="00325192" w:rsidRDefault="00325192" w:rsidP="00663431">
            <w:pPr>
              <w:jc w:val="both"/>
              <w:rPr>
                <w:rFonts w:ascii="Verdana" w:eastAsia="Times New Roman" w:hAnsi="Verdana" w:cs="Calibri"/>
                <w:color w:val="000000"/>
                <w:sz w:val="20"/>
                <w:szCs w:val="20"/>
                <w:lang w:eastAsia="es-CO"/>
              </w:rPr>
            </w:pPr>
          </w:p>
          <w:p w14:paraId="00C95EA2" w14:textId="77777777" w:rsidR="00325192" w:rsidRDefault="00325192" w:rsidP="00663431">
            <w:pPr>
              <w:jc w:val="both"/>
              <w:rPr>
                <w:rFonts w:ascii="Verdana" w:eastAsia="Times New Roman" w:hAnsi="Verdana" w:cs="Calibri"/>
                <w:color w:val="000000"/>
                <w:sz w:val="20"/>
                <w:szCs w:val="20"/>
                <w:lang w:eastAsia="es-CO"/>
              </w:rPr>
            </w:pPr>
            <w:r w:rsidRPr="00325192">
              <w:rPr>
                <w:rFonts w:ascii="Verdana" w:eastAsia="Times New Roman" w:hAnsi="Verdana" w:cs="Calibri"/>
                <w:color w:val="000000"/>
                <w:sz w:val="20"/>
                <w:szCs w:val="20"/>
                <w:lang w:eastAsia="es-CO"/>
              </w:rPr>
              <w:t xml:space="preserve">Si </w:t>
            </w:r>
            <w:r>
              <w:rPr>
                <w:rFonts w:ascii="Verdana" w:eastAsia="Times New Roman" w:hAnsi="Verdana" w:cs="Calibri"/>
                <w:color w:val="000000"/>
                <w:sz w:val="20"/>
                <w:szCs w:val="20"/>
                <w:lang w:eastAsia="es-CO"/>
              </w:rPr>
              <w:t>el deudor</w:t>
            </w:r>
            <w:r w:rsidRPr="00325192">
              <w:rPr>
                <w:rFonts w:ascii="Verdana" w:eastAsia="Times New Roman" w:hAnsi="Verdana" w:cs="Calibri"/>
                <w:color w:val="000000"/>
                <w:sz w:val="20"/>
                <w:szCs w:val="20"/>
                <w:lang w:eastAsia="es-CO"/>
              </w:rPr>
              <w:t xml:space="preserve"> es del exterior y no posee identificación en Colombia, registre el número, código o clave de identificación fiscal tributaria asignada en el país de residencia o domicilio. Si no se tiene el código o clave de identificación tributaria mencionado anteriormente, se deberá registrar el código interno que utilice o asigne la entidad para su identificación</w:t>
            </w:r>
            <w:r>
              <w:rPr>
                <w:rFonts w:ascii="Verdana" w:eastAsia="Times New Roman" w:hAnsi="Verdana" w:cs="Calibri"/>
                <w:color w:val="000000"/>
                <w:sz w:val="20"/>
                <w:szCs w:val="20"/>
                <w:lang w:eastAsia="es-CO"/>
              </w:rPr>
              <w:t>.</w:t>
            </w:r>
          </w:p>
          <w:p w14:paraId="5CC3A39B" w14:textId="77777777" w:rsidR="00B55C3C" w:rsidRDefault="00B55C3C" w:rsidP="00663431">
            <w:pPr>
              <w:jc w:val="both"/>
              <w:rPr>
                <w:rFonts w:ascii="Verdana" w:eastAsia="Times New Roman" w:hAnsi="Verdana" w:cs="Calibri"/>
                <w:color w:val="000000"/>
                <w:sz w:val="20"/>
                <w:szCs w:val="20"/>
                <w:lang w:eastAsia="es-CO"/>
              </w:rPr>
            </w:pPr>
          </w:p>
          <w:p w14:paraId="3470AC42" w14:textId="76EA1111" w:rsidR="00230A06" w:rsidRPr="00230A06" w:rsidRDefault="00B55C3C" w:rsidP="00230A06">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Si </w:t>
            </w:r>
            <w:r>
              <w:rPr>
                <w:rFonts w:ascii="Verdana" w:eastAsia="Times New Roman" w:hAnsi="Verdana" w:cs="Calibri"/>
                <w:color w:val="000000"/>
                <w:sz w:val="20"/>
                <w:szCs w:val="20"/>
                <w:lang w:val="es-CO" w:eastAsia="es-CO"/>
              </w:rPr>
              <w:t>el deudor</w:t>
            </w:r>
            <w:r w:rsidRPr="00B55C3C">
              <w:rPr>
                <w:rFonts w:ascii="Verdana" w:eastAsia="Times New Roman" w:hAnsi="Verdana" w:cs="Calibri"/>
                <w:color w:val="000000"/>
                <w:sz w:val="20"/>
                <w:szCs w:val="20"/>
                <w:lang w:val="es-CO" w:eastAsia="es-CO"/>
              </w:rPr>
              <w:t xml:space="preserve"> es un</w:t>
            </w:r>
            <w:r w:rsidR="00674FDE">
              <w:rPr>
                <w:rFonts w:ascii="Verdana" w:eastAsia="Times New Roman" w:hAnsi="Verdana" w:cs="Calibri"/>
                <w:color w:val="000000"/>
                <w:sz w:val="20"/>
                <w:szCs w:val="20"/>
                <w:lang w:val="es-CO" w:eastAsia="es-CO"/>
              </w:rPr>
              <w:t xml:space="preserve"> </w:t>
            </w:r>
            <w:r w:rsidR="008112C8">
              <w:rPr>
                <w:rFonts w:ascii="Verdana" w:eastAsia="Times New Roman" w:hAnsi="Verdana" w:cs="Calibri"/>
                <w:color w:val="000000"/>
                <w:sz w:val="20"/>
                <w:szCs w:val="20"/>
                <w:lang w:val="es-CO" w:eastAsia="es-CO"/>
              </w:rPr>
              <w:t>n</w:t>
            </w:r>
            <w:r w:rsidR="00230A06" w:rsidRPr="00230A06">
              <w:rPr>
                <w:rFonts w:ascii="Verdana" w:eastAsia="Times New Roman" w:hAnsi="Verdana" w:cs="Calibri"/>
                <w:color w:val="000000"/>
                <w:sz w:val="20"/>
                <w:szCs w:val="20"/>
                <w:lang w:val="es-CO" w:eastAsia="es-CO"/>
              </w:rPr>
              <w:t>egocio</w:t>
            </w:r>
            <w:r w:rsidR="00230A06">
              <w:rPr>
                <w:rFonts w:ascii="Verdana" w:eastAsia="Times New Roman" w:hAnsi="Verdana" w:cs="Calibri"/>
                <w:color w:val="000000"/>
                <w:sz w:val="20"/>
                <w:szCs w:val="20"/>
                <w:lang w:val="es-CO" w:eastAsia="es-CO"/>
              </w:rPr>
              <w:t xml:space="preserve"> </w:t>
            </w:r>
            <w:r w:rsidR="00230A06" w:rsidRPr="00230A06">
              <w:rPr>
                <w:rFonts w:ascii="Verdana" w:eastAsia="Times New Roman" w:hAnsi="Verdana" w:cs="Calibri"/>
                <w:color w:val="000000"/>
                <w:sz w:val="20"/>
                <w:szCs w:val="20"/>
                <w:lang w:val="es-CO" w:eastAsia="es-CO"/>
              </w:rPr>
              <w:t>fiduciario que administr</w:t>
            </w:r>
            <w:r w:rsidR="00230A06">
              <w:rPr>
                <w:rFonts w:ascii="Verdana" w:eastAsia="Times New Roman" w:hAnsi="Verdana" w:cs="Calibri"/>
                <w:color w:val="000000"/>
                <w:sz w:val="20"/>
                <w:szCs w:val="20"/>
                <w:lang w:val="es-CO" w:eastAsia="es-CO"/>
              </w:rPr>
              <w:t>a</w:t>
            </w:r>
            <w:r w:rsidR="00230A06" w:rsidRPr="00230A06">
              <w:rPr>
                <w:rFonts w:ascii="Verdana" w:eastAsia="Times New Roman" w:hAnsi="Verdana" w:cs="Calibri"/>
                <w:color w:val="000000"/>
                <w:sz w:val="20"/>
                <w:szCs w:val="20"/>
                <w:lang w:val="es-CO" w:eastAsia="es-CO"/>
              </w:rPr>
              <w:t xml:space="preserve"> cartera originada por establecimientos de crédito</w:t>
            </w:r>
            <w:r w:rsidR="00230A06">
              <w:rPr>
                <w:rFonts w:ascii="Verdana" w:eastAsia="Times New Roman" w:hAnsi="Verdana" w:cs="Calibri"/>
                <w:color w:val="000000"/>
                <w:sz w:val="20"/>
                <w:szCs w:val="20"/>
                <w:lang w:val="es-CO" w:eastAsia="es-CO"/>
              </w:rPr>
              <w:t xml:space="preserve"> o</w:t>
            </w:r>
            <w:r w:rsidR="00674FDE">
              <w:rPr>
                <w:rFonts w:ascii="Verdana" w:eastAsia="Times New Roman" w:hAnsi="Verdana" w:cs="Calibri"/>
                <w:color w:val="000000"/>
                <w:sz w:val="20"/>
                <w:szCs w:val="20"/>
                <w:lang w:val="es-CO" w:eastAsia="es-CO"/>
              </w:rPr>
              <w:t xml:space="preserve"> un </w:t>
            </w:r>
            <w:r w:rsidR="00230A06" w:rsidRPr="00230A06">
              <w:rPr>
                <w:rFonts w:ascii="Verdana" w:eastAsia="Times New Roman" w:hAnsi="Verdana" w:cs="Calibri"/>
                <w:color w:val="000000"/>
                <w:sz w:val="20"/>
                <w:szCs w:val="20"/>
                <w:lang w:val="es-CO" w:eastAsia="es-CO"/>
              </w:rPr>
              <w:t>fondo de capital de privado que originan cartera, registre el código del negocio fiduciario, fondo o compartimento</w:t>
            </w:r>
            <w:r w:rsidR="00AD1F02">
              <w:rPr>
                <w:rFonts w:ascii="Verdana" w:eastAsia="Times New Roman" w:hAnsi="Verdana" w:cs="Calibri"/>
                <w:color w:val="000000"/>
                <w:sz w:val="20"/>
                <w:szCs w:val="20"/>
                <w:lang w:eastAsia="es-CO"/>
              </w:rPr>
              <w:t xml:space="preserve"> en caso de estar constituido de esta </w:t>
            </w:r>
            <w:r w:rsidR="00E402F2">
              <w:rPr>
                <w:rFonts w:ascii="Verdana" w:eastAsia="Times New Roman" w:hAnsi="Verdana" w:cs="Calibri"/>
                <w:color w:val="000000"/>
                <w:sz w:val="20"/>
                <w:szCs w:val="20"/>
                <w:lang w:eastAsia="es-CO"/>
              </w:rPr>
              <w:t xml:space="preserve">forma, </w:t>
            </w:r>
            <w:r w:rsidR="00E402F2" w:rsidRPr="00230A06">
              <w:rPr>
                <w:rFonts w:ascii="Verdana" w:eastAsia="Times New Roman" w:hAnsi="Verdana" w:cs="Calibri"/>
                <w:color w:val="000000"/>
                <w:sz w:val="20"/>
                <w:szCs w:val="20"/>
                <w:lang w:val="es-CO" w:eastAsia="es-CO"/>
              </w:rPr>
              <w:t>registrado</w:t>
            </w:r>
            <w:r w:rsidR="00230A06" w:rsidRPr="00230A06">
              <w:rPr>
                <w:rFonts w:ascii="Verdana" w:eastAsia="Times New Roman" w:hAnsi="Verdana" w:cs="Calibri"/>
                <w:color w:val="000000"/>
                <w:sz w:val="20"/>
                <w:szCs w:val="20"/>
                <w:lang w:val="es-CO" w:eastAsia="es-CO"/>
              </w:rPr>
              <w:t xml:space="preserve"> en la SFC, de acuerdo con la siguiente codificación:</w:t>
            </w:r>
          </w:p>
          <w:p w14:paraId="618D3C70"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 </w:t>
            </w:r>
          </w:p>
          <w:p w14:paraId="02547413"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TTTCCCTTTCCCCCC </w:t>
            </w:r>
          </w:p>
          <w:p w14:paraId="7CF5B924" w14:textId="77777777" w:rsidR="00230A06" w:rsidRPr="00230A06" w:rsidRDefault="00230A06" w:rsidP="00230A06">
            <w:pPr>
              <w:jc w:val="both"/>
              <w:rPr>
                <w:rFonts w:ascii="Verdana" w:eastAsia="Times New Roman" w:hAnsi="Verdana" w:cs="Calibri"/>
                <w:color w:val="000000"/>
                <w:sz w:val="20"/>
                <w:szCs w:val="20"/>
                <w:lang w:val="es-CO" w:eastAsia="es-CO"/>
              </w:rPr>
            </w:pPr>
          </w:p>
          <w:p w14:paraId="79CC9BC7"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donde:</w:t>
            </w:r>
          </w:p>
          <w:p w14:paraId="3981223F" w14:textId="77777777" w:rsidR="00230A06" w:rsidRPr="00230A06" w:rsidRDefault="00230A06" w:rsidP="00230A06">
            <w:pPr>
              <w:jc w:val="both"/>
              <w:rPr>
                <w:rFonts w:ascii="Verdana" w:eastAsia="Times New Roman" w:hAnsi="Verdana" w:cs="Calibri"/>
                <w:color w:val="000000"/>
                <w:sz w:val="20"/>
                <w:szCs w:val="20"/>
                <w:lang w:val="es-CO" w:eastAsia="es-CO"/>
              </w:rPr>
            </w:pPr>
          </w:p>
          <w:p w14:paraId="2A0B9598"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w:t>
            </w:r>
          </w:p>
          <w:p w14:paraId="19769F5E"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tipo de entidad administradora del vehículo respectivo, según lo señalado por la SFC.</w:t>
            </w:r>
          </w:p>
          <w:p w14:paraId="76CCA6FF"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CCC:</w:t>
            </w:r>
          </w:p>
          <w:p w14:paraId="242F7A47"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código de la entidad administradora del vehículo, según lo señalado por la SFC.</w:t>
            </w:r>
          </w:p>
          <w:p w14:paraId="4C72B029"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lastRenderedPageBreak/>
              <w:t>TTT:</w:t>
            </w:r>
          </w:p>
          <w:p w14:paraId="66DD01D7"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tipo de vehículo inscrito en el módulo de registro de negocios de la SFC, por la entidad administradora del vehículo, según el numeral 3 de la parte I del título IV del capítulo VI de la CBJ de la SFC.</w:t>
            </w:r>
          </w:p>
          <w:p w14:paraId="479C72FE"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CCCCCC:</w:t>
            </w:r>
          </w:p>
          <w:p w14:paraId="57F4449A"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código del vehículo respectivo inscrito en el módulo de registro de negocios de la SFC, por la entidad administradora del vehículo.</w:t>
            </w:r>
          </w:p>
          <w:p w14:paraId="50F8A8FA"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 </w:t>
            </w:r>
          </w:p>
          <w:p w14:paraId="6E776146" w14:textId="1FFE17F1"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Cuando el </w:t>
            </w:r>
            <w:r w:rsidR="00674FDE" w:rsidRPr="00674FDE">
              <w:rPr>
                <w:rFonts w:ascii="Verdana" w:eastAsia="Times New Roman" w:hAnsi="Verdana" w:cs="Calibri"/>
                <w:color w:val="000000"/>
                <w:sz w:val="20"/>
                <w:szCs w:val="20"/>
                <w:lang w:val="es-CO" w:eastAsia="es-CO"/>
              </w:rPr>
              <w:t xml:space="preserve">deudor es </w:t>
            </w:r>
            <w:r w:rsidR="00674FDE">
              <w:rPr>
                <w:rFonts w:ascii="Verdana" w:eastAsia="Times New Roman" w:hAnsi="Verdana" w:cs="Calibri"/>
                <w:color w:val="000000"/>
                <w:sz w:val="20"/>
                <w:szCs w:val="20"/>
                <w:lang w:val="es-CO" w:eastAsia="es-CO"/>
              </w:rPr>
              <w:t xml:space="preserve">una </w:t>
            </w:r>
            <w:r w:rsidRPr="00230A06">
              <w:rPr>
                <w:rFonts w:ascii="Verdana" w:eastAsia="Times New Roman" w:hAnsi="Verdana" w:cs="Calibri"/>
                <w:color w:val="000000"/>
                <w:sz w:val="20"/>
                <w:szCs w:val="20"/>
                <w:lang w:val="es-CO" w:eastAsia="es-CO"/>
              </w:rPr>
              <w:t xml:space="preserve"> universalidad, debe utilizarse la siguiente codificación:</w:t>
            </w:r>
          </w:p>
          <w:p w14:paraId="74DBAE31" w14:textId="77777777" w:rsidR="00230A06" w:rsidRPr="00230A06" w:rsidRDefault="00230A06" w:rsidP="00230A06">
            <w:pPr>
              <w:jc w:val="both"/>
              <w:rPr>
                <w:rFonts w:ascii="Verdana" w:eastAsia="Times New Roman" w:hAnsi="Verdana" w:cs="Calibri"/>
                <w:color w:val="000000"/>
                <w:sz w:val="20"/>
                <w:szCs w:val="20"/>
                <w:lang w:val="es-CO" w:eastAsia="es-CO"/>
              </w:rPr>
            </w:pPr>
          </w:p>
          <w:p w14:paraId="2AB68011"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TTTCCCTTTNNNNNNNNNNNN  </w:t>
            </w:r>
          </w:p>
          <w:p w14:paraId="7E99B8DD" w14:textId="525CDBD2"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 </w:t>
            </w:r>
          </w:p>
          <w:p w14:paraId="6A55EDCB"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 tres caracteres corresponden al tipo de Entidad</w:t>
            </w:r>
          </w:p>
          <w:p w14:paraId="7D907A28"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CCC tres caracteres corresponden al Código de Entidad</w:t>
            </w:r>
          </w:p>
          <w:p w14:paraId="2AAB4293" w14:textId="77777777" w:rsidR="00230A06" w:rsidRPr="00230A06" w:rsidRDefault="00230A06" w:rsidP="00230A06">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 tres caracteres corresponden al tipo de vehículo</w:t>
            </w:r>
          </w:p>
          <w:p w14:paraId="2F3FAF5F" w14:textId="0725C691" w:rsidR="00674FDE" w:rsidRDefault="00230A06" w:rsidP="00663431">
            <w:pPr>
              <w:jc w:val="both"/>
              <w:rPr>
                <w:rFonts w:ascii="Verdana" w:eastAsia="Times New Roman" w:hAnsi="Verdana" w:cs="Calibri"/>
                <w:color w:val="000000"/>
                <w:sz w:val="20"/>
                <w:szCs w:val="20"/>
                <w:lang w:eastAsia="es-CO"/>
              </w:rPr>
            </w:pPr>
            <w:r w:rsidRPr="00230A06">
              <w:rPr>
                <w:rFonts w:ascii="Verdana" w:eastAsia="Times New Roman" w:hAnsi="Verdana" w:cs="Calibri"/>
                <w:color w:val="000000"/>
                <w:sz w:val="20"/>
                <w:szCs w:val="20"/>
                <w:lang w:val="es-CO" w:eastAsia="es-CO"/>
              </w:rPr>
              <w:t>NNNNNNNNNNNN: doce caracteres corresponden al código ANN del título valor inscrito.</w:t>
            </w:r>
          </w:p>
          <w:p w14:paraId="3F583C52" w14:textId="77777777" w:rsidR="00674FDE" w:rsidRDefault="00674FDE" w:rsidP="00663431">
            <w:pPr>
              <w:jc w:val="both"/>
              <w:rPr>
                <w:rFonts w:ascii="Verdana" w:eastAsia="Times New Roman" w:hAnsi="Verdana" w:cs="Calibri"/>
                <w:color w:val="000000"/>
                <w:sz w:val="20"/>
                <w:szCs w:val="20"/>
                <w:lang w:eastAsia="es-CO"/>
              </w:rPr>
            </w:pPr>
          </w:p>
          <w:p w14:paraId="47999451" w14:textId="5B48C7F1" w:rsidR="0097264A" w:rsidRDefault="00AA451B" w:rsidP="0097264A">
            <w:pPr>
              <w:jc w:val="both"/>
              <w:outlineLvl w:val="0"/>
              <w:rPr>
                <w:rFonts w:ascii="Verdana" w:hAnsi="Verdana"/>
                <w:color w:val="000000"/>
                <w:sz w:val="20"/>
                <w:szCs w:val="20"/>
              </w:rPr>
            </w:pPr>
            <w:r>
              <w:rPr>
                <w:rFonts w:ascii="Verdana" w:hAnsi="Verdana"/>
                <w:color w:val="000000"/>
                <w:sz w:val="20"/>
                <w:szCs w:val="20"/>
              </w:rPr>
              <w:t>También es o</w:t>
            </w:r>
            <w:r w:rsidR="0097264A">
              <w:rPr>
                <w:rFonts w:ascii="Verdana" w:hAnsi="Verdana"/>
                <w:color w:val="000000"/>
                <w:sz w:val="20"/>
                <w:szCs w:val="20"/>
              </w:rPr>
              <w:t xml:space="preserve">bligatorio para el reporte de que tratan los numerales </w:t>
            </w:r>
            <w:r w:rsidR="00D77784">
              <w:rPr>
                <w:rFonts w:ascii="Verdana" w:hAnsi="Verdana"/>
                <w:color w:val="000000"/>
                <w:sz w:val="20"/>
                <w:szCs w:val="20"/>
              </w:rPr>
              <w:t xml:space="preserve">14 (ii), </w:t>
            </w:r>
            <w:r w:rsidR="0097264A">
              <w:rPr>
                <w:rFonts w:ascii="Verdana" w:hAnsi="Verdana"/>
                <w:color w:val="000000"/>
                <w:sz w:val="20"/>
                <w:szCs w:val="20"/>
              </w:rPr>
              <w:t>15, 16, 17</w:t>
            </w:r>
            <w:r w:rsidR="00A62816">
              <w:rPr>
                <w:rFonts w:ascii="Verdana" w:hAnsi="Verdana"/>
                <w:color w:val="000000"/>
                <w:sz w:val="20"/>
                <w:szCs w:val="20"/>
              </w:rPr>
              <w:t>,</w:t>
            </w:r>
            <w:r w:rsidR="001573C8">
              <w:rPr>
                <w:rFonts w:ascii="Verdana" w:hAnsi="Verdana"/>
                <w:color w:val="000000"/>
                <w:sz w:val="20"/>
                <w:szCs w:val="20"/>
              </w:rPr>
              <w:t xml:space="preserve"> </w:t>
            </w:r>
            <w:r w:rsidR="0097264A">
              <w:rPr>
                <w:rFonts w:ascii="Verdana" w:hAnsi="Verdana"/>
                <w:color w:val="000000"/>
                <w:sz w:val="20"/>
                <w:szCs w:val="20"/>
              </w:rPr>
              <w:t>18</w:t>
            </w:r>
            <w:r w:rsidR="00A62816">
              <w:rPr>
                <w:rFonts w:ascii="Verdana" w:hAnsi="Verdana"/>
                <w:color w:val="000000"/>
                <w:sz w:val="20"/>
                <w:szCs w:val="20"/>
              </w:rPr>
              <w:t xml:space="preserve"> </w:t>
            </w:r>
            <w:r w:rsidR="00EA48AD">
              <w:rPr>
                <w:rFonts w:ascii="Verdana" w:hAnsi="Verdana"/>
                <w:color w:val="000000"/>
                <w:sz w:val="20"/>
                <w:szCs w:val="20"/>
              </w:rPr>
              <w:t>y</w:t>
            </w:r>
            <w:r w:rsidR="00A62816">
              <w:rPr>
                <w:rFonts w:ascii="Verdana" w:hAnsi="Verdana"/>
                <w:color w:val="000000"/>
                <w:sz w:val="20"/>
                <w:szCs w:val="20"/>
              </w:rPr>
              <w:t xml:space="preserve"> 31</w:t>
            </w:r>
            <w:r w:rsidR="0097264A">
              <w:rPr>
                <w:rFonts w:ascii="Verdana" w:hAnsi="Verdana"/>
                <w:color w:val="000000"/>
                <w:sz w:val="20"/>
                <w:szCs w:val="20"/>
              </w:rPr>
              <w:t xml:space="preserve"> de las </w:t>
            </w:r>
            <w:r w:rsidR="0097264A" w:rsidRPr="00422DCE">
              <w:rPr>
                <w:rFonts w:ascii="Verdana" w:hAnsi="Verdana"/>
                <w:bCs/>
                <w:sz w:val="20"/>
                <w:szCs w:val="20"/>
              </w:rPr>
              <w:t>«</w:t>
            </w:r>
            <w:r w:rsidR="0097264A" w:rsidRPr="00075DE0">
              <w:rPr>
                <w:rFonts w:ascii="Verdana" w:hAnsi="Verdana"/>
                <w:bCs/>
                <w:sz w:val="20"/>
                <w:szCs w:val="20"/>
              </w:rPr>
              <w:t>Re</w:t>
            </w:r>
            <w:r w:rsidR="0097264A">
              <w:rPr>
                <w:rFonts w:ascii="Verdana" w:hAnsi="Verdana"/>
                <w:bCs/>
                <w:sz w:val="20"/>
                <w:szCs w:val="20"/>
              </w:rPr>
              <w:t>glas generales de diligenciamiento</w:t>
            </w:r>
            <w:r w:rsidR="0097264A" w:rsidRPr="00BD40EF">
              <w:rPr>
                <w:rFonts w:ascii="Verdana" w:hAnsi="Verdana"/>
                <w:bCs/>
                <w:sz w:val="20"/>
                <w:szCs w:val="20"/>
              </w:rPr>
              <w:t>»</w:t>
            </w:r>
            <w:r w:rsidR="0097264A">
              <w:rPr>
                <w:rFonts w:ascii="Verdana" w:hAnsi="Verdana"/>
                <w:bCs/>
                <w:sz w:val="20"/>
                <w:szCs w:val="20"/>
              </w:rPr>
              <w:t xml:space="preserve"> del presente documento.</w:t>
            </w:r>
          </w:p>
          <w:p w14:paraId="4F53C27C" w14:textId="4629D96E" w:rsidR="002843B3" w:rsidRPr="00325192" w:rsidRDefault="002843B3" w:rsidP="00663431">
            <w:pPr>
              <w:jc w:val="both"/>
              <w:rPr>
                <w:rFonts w:ascii="Verdana" w:eastAsia="Times New Roman" w:hAnsi="Verdana" w:cs="Calibri"/>
                <w:color w:val="000000"/>
                <w:sz w:val="20"/>
                <w:szCs w:val="20"/>
                <w:lang w:eastAsia="es-CO"/>
              </w:rPr>
            </w:pPr>
          </w:p>
        </w:tc>
      </w:tr>
      <w:tr w:rsidR="00663431" w:rsidRPr="00663431" w14:paraId="7325A920" w14:textId="77777777" w:rsidTr="4923CE6A">
        <w:trPr>
          <w:trHeight w:val="1620"/>
        </w:trPr>
        <w:tc>
          <w:tcPr>
            <w:tcW w:w="1647" w:type="dxa"/>
            <w:vAlign w:val="center"/>
            <w:hideMark/>
          </w:tcPr>
          <w:p w14:paraId="7D699871" w14:textId="67398515" w:rsidR="00663431" w:rsidRPr="00663431" w:rsidRDefault="00663431" w:rsidP="00663431">
            <w:pPr>
              <w:jc w:val="center"/>
              <w:rPr>
                <w:rFonts w:ascii="Verdana" w:eastAsia="Times New Roman" w:hAnsi="Verdana" w:cs="Calibri"/>
                <w:sz w:val="20"/>
                <w:szCs w:val="20"/>
                <w:lang w:eastAsia="es-CO"/>
              </w:rPr>
            </w:pPr>
            <w:r w:rsidRPr="00663431">
              <w:rPr>
                <w:rFonts w:ascii="Verdana" w:hAnsi="Verdana" w:cs="Verdana"/>
                <w:sz w:val="20"/>
                <w:szCs w:val="20"/>
              </w:rPr>
              <w:lastRenderedPageBreak/>
              <w:t>Modalidad</w:t>
            </w:r>
            <w:r w:rsidR="000B2489">
              <w:rPr>
                <w:rFonts w:ascii="Verdana" w:hAnsi="Verdana" w:cs="Verdana"/>
                <w:sz w:val="20"/>
                <w:szCs w:val="20"/>
              </w:rPr>
              <w:t xml:space="preserve"> de crédito</w:t>
            </w:r>
          </w:p>
        </w:tc>
        <w:tc>
          <w:tcPr>
            <w:tcW w:w="3177" w:type="dxa"/>
            <w:vAlign w:val="center"/>
          </w:tcPr>
          <w:p w14:paraId="570A314B" w14:textId="5AECF2DB"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modalidad</w:t>
            </w:r>
          </w:p>
        </w:tc>
        <w:tc>
          <w:tcPr>
            <w:tcW w:w="4243" w:type="dxa"/>
            <w:vAlign w:val="center"/>
          </w:tcPr>
          <w:p w14:paraId="27183421" w14:textId="533F340E" w:rsidR="00F52648" w:rsidRDefault="00663431" w:rsidP="00663431">
            <w:pPr>
              <w:autoSpaceDE w:val="0"/>
              <w:autoSpaceDN w:val="0"/>
              <w:adjustRightInd w:val="0"/>
              <w:jc w:val="both"/>
              <w:rPr>
                <w:rFonts w:ascii="Verdana" w:eastAsia="Times New Roman" w:hAnsi="Verdana" w:cs="Calibri"/>
                <w:color w:val="000000"/>
                <w:sz w:val="20"/>
                <w:szCs w:val="20"/>
                <w:lang w:eastAsia="es-CO"/>
              </w:rPr>
            </w:pPr>
            <w:r w:rsidRPr="00851FD9">
              <w:rPr>
                <w:rFonts w:ascii="Verdana" w:eastAsia="Times New Roman" w:hAnsi="Verdana" w:cs="Calibri"/>
                <w:color w:val="000000"/>
                <w:sz w:val="20"/>
                <w:szCs w:val="20"/>
                <w:lang w:eastAsia="es-CO"/>
              </w:rPr>
              <w:t>Registre la modalidad</w:t>
            </w:r>
            <w:r w:rsidR="00851FD9">
              <w:rPr>
                <w:rFonts w:ascii="Verdana" w:eastAsia="Times New Roman" w:hAnsi="Verdana" w:cs="Calibri"/>
                <w:color w:val="000000"/>
                <w:sz w:val="20"/>
                <w:szCs w:val="20"/>
                <w:lang w:eastAsia="es-CO"/>
              </w:rPr>
              <w:t xml:space="preserve"> de crédito</w:t>
            </w:r>
            <w:r w:rsidRPr="00851FD9">
              <w:rPr>
                <w:rFonts w:ascii="Verdana" w:eastAsia="Times New Roman" w:hAnsi="Verdana" w:cs="Calibri"/>
                <w:color w:val="000000"/>
                <w:sz w:val="20"/>
                <w:szCs w:val="20"/>
                <w:lang w:eastAsia="es-CO"/>
              </w:rPr>
              <w:t xml:space="preserve">, según lo definido en </w:t>
            </w:r>
            <w:r w:rsidR="00AD74E9">
              <w:rPr>
                <w:rFonts w:ascii="Verdana" w:eastAsia="Times New Roman" w:hAnsi="Verdana" w:cs="Calibri"/>
                <w:color w:val="000000"/>
                <w:sz w:val="20"/>
                <w:szCs w:val="20"/>
                <w:lang w:eastAsia="es-CO"/>
              </w:rPr>
              <w:t xml:space="preserve">el </w:t>
            </w:r>
            <w:r w:rsidRPr="00851FD9">
              <w:rPr>
                <w:rFonts w:ascii="Verdana" w:eastAsia="Times New Roman" w:hAnsi="Verdana" w:cs="Calibri"/>
                <w:color w:val="000000"/>
                <w:sz w:val="20"/>
                <w:szCs w:val="20"/>
                <w:lang w:eastAsia="es-CO"/>
              </w:rPr>
              <w:t xml:space="preserve">capítulo XXXI </w:t>
            </w:r>
            <w:r w:rsidR="008218D3">
              <w:rPr>
                <w:rFonts w:ascii="Verdana" w:eastAsia="Times New Roman" w:hAnsi="Verdana" w:cs="Calibri"/>
                <w:color w:val="000000"/>
                <w:sz w:val="20"/>
                <w:szCs w:val="20"/>
                <w:lang w:eastAsia="es-CO"/>
              </w:rPr>
              <w:t>SIAR</w:t>
            </w:r>
            <w:r w:rsidR="00F51C33">
              <w:rPr>
                <w:rFonts w:ascii="Verdana" w:eastAsia="Times New Roman" w:hAnsi="Verdana" w:cs="Calibri"/>
                <w:color w:val="000000"/>
                <w:sz w:val="20"/>
                <w:szCs w:val="20"/>
                <w:lang w:eastAsia="es-CO"/>
              </w:rPr>
              <w:t xml:space="preserve"> </w:t>
            </w:r>
            <w:r w:rsidR="00F51C33" w:rsidRPr="00851FD9">
              <w:rPr>
                <w:rFonts w:ascii="Verdana" w:eastAsia="Times New Roman" w:hAnsi="Verdana" w:cs="Calibri"/>
                <w:color w:val="000000"/>
                <w:sz w:val="20"/>
                <w:szCs w:val="20"/>
                <w:lang w:eastAsia="es-CO"/>
              </w:rPr>
              <w:t xml:space="preserve">de la </w:t>
            </w:r>
            <w:r w:rsidR="00F51C33">
              <w:rPr>
                <w:rFonts w:ascii="Verdana" w:eastAsia="Times New Roman" w:hAnsi="Verdana" w:cs="Calibri"/>
                <w:color w:val="000000"/>
                <w:sz w:val="20"/>
                <w:szCs w:val="20"/>
                <w:lang w:eastAsia="es-CO"/>
              </w:rPr>
              <w:t>CBCF</w:t>
            </w:r>
            <w:r w:rsidR="00F52648">
              <w:rPr>
                <w:rFonts w:ascii="Verdana" w:eastAsia="Times New Roman" w:hAnsi="Verdana" w:cs="Calibri"/>
                <w:color w:val="000000"/>
                <w:sz w:val="20"/>
                <w:szCs w:val="20"/>
                <w:lang w:eastAsia="es-CO"/>
              </w:rPr>
              <w:t>.</w:t>
            </w:r>
          </w:p>
          <w:p w14:paraId="6D47966F" w14:textId="77777777" w:rsidR="00F52648" w:rsidRDefault="00F52648" w:rsidP="00663431">
            <w:pPr>
              <w:autoSpaceDE w:val="0"/>
              <w:autoSpaceDN w:val="0"/>
              <w:adjustRightInd w:val="0"/>
              <w:jc w:val="both"/>
              <w:rPr>
                <w:rFonts w:ascii="Verdana" w:eastAsia="Times New Roman" w:hAnsi="Verdana" w:cs="Calibri"/>
                <w:color w:val="000000"/>
                <w:sz w:val="20"/>
                <w:szCs w:val="20"/>
                <w:lang w:eastAsia="es-CO"/>
              </w:rPr>
            </w:pPr>
          </w:p>
          <w:p w14:paraId="3207FDE1" w14:textId="4621F64E" w:rsidR="00F52648" w:rsidRDefault="00F52648" w:rsidP="00663431">
            <w:pPr>
              <w:autoSpaceDE w:val="0"/>
              <w:autoSpaceDN w:val="0"/>
              <w:adjustRightInd w:val="0"/>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Para estos efectos, se deben utilizar los códigos asignados a cada modalidad de crédito</w:t>
            </w:r>
            <w:r w:rsidR="00F6226A">
              <w:rPr>
                <w:rFonts w:ascii="Verdana" w:eastAsia="Times New Roman" w:hAnsi="Verdana" w:cs="Calibri"/>
                <w:color w:val="000000"/>
                <w:sz w:val="20"/>
                <w:szCs w:val="20"/>
                <w:lang w:eastAsia="es-CO"/>
              </w:rPr>
              <w:t xml:space="preserve"> </w:t>
            </w:r>
            <w:r w:rsidRPr="00663431">
              <w:rPr>
                <w:rFonts w:ascii="Verdana" w:eastAsia="Times New Roman" w:hAnsi="Verdana" w:cs="Calibri"/>
                <w:color w:val="000000"/>
                <w:sz w:val="20"/>
                <w:szCs w:val="20"/>
                <w:lang w:eastAsia="es-CO"/>
              </w:rPr>
              <w:t xml:space="preserve">según la tabla </w:t>
            </w:r>
            <w:r w:rsidRPr="00663431">
              <w:rPr>
                <w:rFonts w:ascii="Verdana" w:hAnsi="Verdana"/>
                <w:bCs/>
                <w:sz w:val="20"/>
                <w:szCs w:val="20"/>
              </w:rPr>
              <w:t>«</w:t>
            </w:r>
            <w:r w:rsidR="00F6226A">
              <w:rPr>
                <w:rFonts w:ascii="Verdana" w:hAnsi="Verdana"/>
                <w:bCs/>
                <w:sz w:val="20"/>
                <w:szCs w:val="20"/>
              </w:rPr>
              <w:t>Modalidad</w:t>
            </w:r>
            <w:r w:rsidR="00DC46BD">
              <w:rPr>
                <w:rFonts w:ascii="Verdana" w:hAnsi="Verdana"/>
                <w:bCs/>
                <w:sz w:val="20"/>
                <w:szCs w:val="20"/>
              </w:rPr>
              <w:t>es de crédito</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w:t>
            </w:r>
          </w:p>
          <w:p w14:paraId="099C99D0" w14:textId="77777777" w:rsidR="00F52648" w:rsidRDefault="00F52648" w:rsidP="00663431">
            <w:pPr>
              <w:autoSpaceDE w:val="0"/>
              <w:autoSpaceDN w:val="0"/>
              <w:adjustRightInd w:val="0"/>
              <w:jc w:val="both"/>
              <w:rPr>
                <w:rFonts w:ascii="Verdana" w:eastAsia="Times New Roman" w:hAnsi="Verdana" w:cs="Calibri"/>
                <w:color w:val="000000"/>
                <w:sz w:val="20"/>
                <w:szCs w:val="20"/>
                <w:lang w:eastAsia="es-CO"/>
              </w:rPr>
            </w:pPr>
          </w:p>
          <w:p w14:paraId="16037385" w14:textId="1AA94EAB" w:rsidR="00F52648" w:rsidRDefault="00F52648" w:rsidP="00663431">
            <w:pPr>
              <w:autoSpaceDE w:val="0"/>
              <w:autoSpaceDN w:val="0"/>
              <w:adjustRightInd w:val="0"/>
              <w:jc w:val="both"/>
              <w:rPr>
                <w:rFonts w:ascii="Verdana" w:hAnsi="Verdana" w:cs="Verdana"/>
                <w:i/>
                <w:iCs/>
                <w:sz w:val="20"/>
                <w:szCs w:val="20"/>
              </w:rPr>
            </w:pPr>
            <w:r w:rsidRPr="00B30AFB">
              <w:rPr>
                <w:rFonts w:ascii="Verdana" w:hAnsi="Verdana" w:cs="Verdana"/>
                <w:i/>
                <w:iCs/>
                <w:sz w:val="20"/>
                <w:szCs w:val="20"/>
              </w:rPr>
              <w:t>Inicio</w:t>
            </w:r>
            <w:r w:rsidR="00C509DF">
              <w:rPr>
                <w:rFonts w:ascii="Verdana" w:hAnsi="Verdana" w:cs="Verdana"/>
                <w:i/>
                <w:iCs/>
                <w:sz w:val="20"/>
                <w:szCs w:val="20"/>
              </w:rPr>
              <w:t xml:space="preserve"> </w:t>
            </w:r>
            <w:r w:rsidRPr="00B30AFB">
              <w:rPr>
                <w:rFonts w:ascii="Verdana" w:hAnsi="Verdana" w:cs="Verdana"/>
                <w:i/>
                <w:iCs/>
                <w:sz w:val="20"/>
                <w:szCs w:val="20"/>
              </w:rPr>
              <w:t>/</w:t>
            </w:r>
            <w:r w:rsidR="00C509DF">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Interés del Vigilado / Reportes / Índice de reportes de información a la Superintendencia Financiera / Tablas anexas para el reporte de información / Tabla</w:t>
            </w:r>
            <w:r w:rsidR="00DC46BD">
              <w:rPr>
                <w:rFonts w:ascii="Verdana" w:hAnsi="Verdana" w:cs="Verdana"/>
                <w:i/>
                <w:iCs/>
                <w:sz w:val="20"/>
                <w:szCs w:val="20"/>
              </w:rPr>
              <w:t xml:space="preserve"> Modalidades de crédito </w:t>
            </w:r>
          </w:p>
          <w:p w14:paraId="6DDAFF7F" w14:textId="77777777" w:rsidR="00FA224B" w:rsidRDefault="00FA224B" w:rsidP="00663431">
            <w:pPr>
              <w:autoSpaceDE w:val="0"/>
              <w:autoSpaceDN w:val="0"/>
              <w:adjustRightInd w:val="0"/>
              <w:jc w:val="both"/>
              <w:rPr>
                <w:rFonts w:ascii="Verdana" w:hAnsi="Verdana" w:cs="Verdana"/>
                <w:i/>
                <w:iCs/>
                <w:sz w:val="20"/>
                <w:szCs w:val="20"/>
              </w:rPr>
            </w:pPr>
          </w:p>
          <w:p w14:paraId="4160995C" w14:textId="09A24E91" w:rsidR="00E70477" w:rsidRDefault="00AA451B" w:rsidP="00E70477">
            <w:pPr>
              <w:jc w:val="both"/>
              <w:outlineLvl w:val="0"/>
              <w:rPr>
                <w:rFonts w:ascii="Verdana" w:hAnsi="Verdana"/>
                <w:color w:val="000000"/>
                <w:sz w:val="20"/>
                <w:szCs w:val="20"/>
              </w:rPr>
            </w:pPr>
            <w:r>
              <w:rPr>
                <w:rFonts w:ascii="Verdana" w:hAnsi="Verdana"/>
                <w:color w:val="000000"/>
                <w:sz w:val="20"/>
                <w:szCs w:val="20"/>
              </w:rPr>
              <w:t>También es o</w:t>
            </w:r>
            <w:r w:rsidR="00E70477">
              <w:rPr>
                <w:rFonts w:ascii="Verdana" w:hAnsi="Verdana"/>
                <w:color w:val="000000"/>
                <w:sz w:val="20"/>
                <w:szCs w:val="20"/>
              </w:rPr>
              <w:t xml:space="preserve">bligatorio para el reporte de que tratan los numerales </w:t>
            </w:r>
            <w:r w:rsidR="00A727CC">
              <w:rPr>
                <w:rFonts w:ascii="Verdana" w:hAnsi="Verdana"/>
                <w:color w:val="000000"/>
                <w:sz w:val="20"/>
                <w:szCs w:val="20"/>
              </w:rPr>
              <w:t xml:space="preserve">14 (ii), </w:t>
            </w:r>
            <w:r w:rsidR="00E70477">
              <w:rPr>
                <w:rFonts w:ascii="Verdana" w:hAnsi="Verdana"/>
                <w:color w:val="000000"/>
                <w:sz w:val="20"/>
                <w:szCs w:val="20"/>
              </w:rPr>
              <w:t>15, 16, 17</w:t>
            </w:r>
            <w:r w:rsidR="00A62816">
              <w:rPr>
                <w:rFonts w:ascii="Verdana" w:hAnsi="Verdana"/>
                <w:color w:val="000000"/>
                <w:sz w:val="20"/>
                <w:szCs w:val="20"/>
              </w:rPr>
              <w:t>,</w:t>
            </w:r>
            <w:r w:rsidR="00880167">
              <w:rPr>
                <w:rFonts w:ascii="Verdana" w:hAnsi="Verdana"/>
                <w:color w:val="000000"/>
                <w:sz w:val="20"/>
                <w:szCs w:val="20"/>
              </w:rPr>
              <w:t xml:space="preserve"> </w:t>
            </w:r>
            <w:r w:rsidR="00E70477">
              <w:rPr>
                <w:rFonts w:ascii="Verdana" w:hAnsi="Verdana"/>
                <w:color w:val="000000"/>
                <w:sz w:val="20"/>
                <w:szCs w:val="20"/>
              </w:rPr>
              <w:t>18</w:t>
            </w:r>
            <w:r w:rsidR="00A62816">
              <w:rPr>
                <w:rFonts w:ascii="Verdana" w:hAnsi="Verdana"/>
                <w:color w:val="000000"/>
                <w:sz w:val="20"/>
                <w:szCs w:val="20"/>
              </w:rPr>
              <w:t xml:space="preserve"> </w:t>
            </w:r>
            <w:r w:rsidR="00EA48AD">
              <w:rPr>
                <w:rFonts w:ascii="Verdana" w:hAnsi="Verdana"/>
                <w:color w:val="000000"/>
                <w:sz w:val="20"/>
                <w:szCs w:val="20"/>
              </w:rPr>
              <w:t>y</w:t>
            </w:r>
            <w:r w:rsidR="00A62816">
              <w:rPr>
                <w:rFonts w:ascii="Verdana" w:hAnsi="Verdana"/>
                <w:color w:val="000000"/>
                <w:sz w:val="20"/>
                <w:szCs w:val="20"/>
              </w:rPr>
              <w:t xml:space="preserve"> 31</w:t>
            </w:r>
            <w:r w:rsidR="00E70477">
              <w:rPr>
                <w:rFonts w:ascii="Verdana" w:hAnsi="Verdana"/>
                <w:color w:val="000000"/>
                <w:sz w:val="20"/>
                <w:szCs w:val="20"/>
              </w:rPr>
              <w:t xml:space="preserve"> de las </w:t>
            </w:r>
            <w:r w:rsidR="00E70477" w:rsidRPr="00422DCE">
              <w:rPr>
                <w:rFonts w:ascii="Verdana" w:hAnsi="Verdana"/>
                <w:bCs/>
                <w:sz w:val="20"/>
                <w:szCs w:val="20"/>
              </w:rPr>
              <w:t>«</w:t>
            </w:r>
            <w:r w:rsidR="00E70477" w:rsidRPr="00075DE0">
              <w:rPr>
                <w:rFonts w:ascii="Verdana" w:hAnsi="Verdana"/>
                <w:bCs/>
                <w:sz w:val="20"/>
                <w:szCs w:val="20"/>
              </w:rPr>
              <w:t>Re</w:t>
            </w:r>
            <w:r w:rsidR="00E70477">
              <w:rPr>
                <w:rFonts w:ascii="Verdana" w:hAnsi="Verdana"/>
                <w:bCs/>
                <w:sz w:val="20"/>
                <w:szCs w:val="20"/>
              </w:rPr>
              <w:t>glas generales de diligenciamiento</w:t>
            </w:r>
            <w:r w:rsidR="00E70477" w:rsidRPr="00BD40EF">
              <w:rPr>
                <w:rFonts w:ascii="Verdana" w:hAnsi="Verdana"/>
                <w:bCs/>
                <w:sz w:val="20"/>
                <w:szCs w:val="20"/>
              </w:rPr>
              <w:t>»</w:t>
            </w:r>
            <w:r w:rsidR="00E70477">
              <w:rPr>
                <w:rFonts w:ascii="Verdana" w:hAnsi="Verdana"/>
                <w:bCs/>
                <w:sz w:val="20"/>
                <w:szCs w:val="20"/>
              </w:rPr>
              <w:t xml:space="preserve"> del presente documento.</w:t>
            </w:r>
          </w:p>
          <w:p w14:paraId="3D11E908" w14:textId="34F2C8BD" w:rsidR="00FA224B" w:rsidRPr="00A83864" w:rsidRDefault="00FA224B" w:rsidP="00A83864">
            <w:pPr>
              <w:jc w:val="both"/>
              <w:outlineLvl w:val="0"/>
              <w:rPr>
                <w:rFonts w:ascii="Verdana" w:hAnsi="Verdana"/>
                <w:color w:val="000000"/>
                <w:sz w:val="20"/>
                <w:szCs w:val="20"/>
              </w:rPr>
            </w:pPr>
          </w:p>
        </w:tc>
      </w:tr>
      <w:tr w:rsidR="00663431" w:rsidRPr="00663431" w14:paraId="7985D6E7" w14:textId="77777777" w:rsidTr="4923CE6A">
        <w:trPr>
          <w:trHeight w:val="1620"/>
        </w:trPr>
        <w:tc>
          <w:tcPr>
            <w:tcW w:w="1647" w:type="dxa"/>
            <w:vAlign w:val="center"/>
          </w:tcPr>
          <w:p w14:paraId="27F6426C"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lastRenderedPageBreak/>
              <w:t>Código</w:t>
            </w:r>
          </w:p>
          <w:p w14:paraId="35EA57A0" w14:textId="36C9C989" w:rsidR="00663431" w:rsidRPr="00663431" w:rsidRDefault="001E0080" w:rsidP="00663431">
            <w:pPr>
              <w:jc w:val="center"/>
              <w:rPr>
                <w:rFonts w:ascii="Verdana" w:hAnsi="Verdana"/>
                <w:sz w:val="20"/>
                <w:szCs w:val="20"/>
              </w:rPr>
            </w:pPr>
            <w:r>
              <w:rPr>
                <w:rFonts w:ascii="Verdana" w:hAnsi="Verdana" w:cs="Verdana"/>
                <w:sz w:val="20"/>
                <w:szCs w:val="20"/>
              </w:rPr>
              <w:t>p</w:t>
            </w:r>
            <w:r w:rsidR="00663431" w:rsidRPr="00663431">
              <w:rPr>
                <w:rFonts w:ascii="Verdana" w:hAnsi="Verdana" w:cs="Verdana"/>
                <w:sz w:val="20"/>
                <w:szCs w:val="20"/>
              </w:rPr>
              <w:t>roducto</w:t>
            </w:r>
          </w:p>
        </w:tc>
        <w:tc>
          <w:tcPr>
            <w:tcW w:w="3177" w:type="dxa"/>
            <w:vAlign w:val="center"/>
          </w:tcPr>
          <w:p w14:paraId="7A3077CD" w14:textId="2D488CA4"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codigo_producto</w:t>
            </w:r>
          </w:p>
        </w:tc>
        <w:tc>
          <w:tcPr>
            <w:tcW w:w="4243" w:type="dxa"/>
            <w:vAlign w:val="center"/>
          </w:tcPr>
          <w:p w14:paraId="21B87452" w14:textId="4B278B61" w:rsidR="00663431" w:rsidRPr="000E4228" w:rsidRDefault="00663431" w:rsidP="00663431">
            <w:pPr>
              <w:jc w:val="both"/>
              <w:rPr>
                <w:rFonts w:ascii="Verdana" w:eastAsia="Times New Roman" w:hAnsi="Verdana" w:cs="Calibri"/>
                <w:color w:val="000000"/>
                <w:sz w:val="20"/>
                <w:szCs w:val="20"/>
                <w:lang w:eastAsia="es-CO"/>
              </w:rPr>
            </w:pPr>
            <w:r w:rsidRPr="000E4228">
              <w:rPr>
                <w:rFonts w:ascii="Verdana" w:eastAsia="Times New Roman" w:hAnsi="Verdana" w:cs="Calibri"/>
                <w:color w:val="000000"/>
                <w:sz w:val="20"/>
                <w:szCs w:val="20"/>
                <w:lang w:eastAsia="es-CO"/>
              </w:rPr>
              <w:t>Registre el código del producto correspondiente a la categoría y al tipo de crédito</w:t>
            </w:r>
            <w:r w:rsidR="000E4228" w:rsidRPr="000E4228">
              <w:rPr>
                <w:rFonts w:ascii="Verdana" w:eastAsia="Times New Roman" w:hAnsi="Verdana" w:cs="Calibri"/>
                <w:color w:val="000000"/>
                <w:sz w:val="20"/>
                <w:szCs w:val="20"/>
                <w:lang w:eastAsia="es-CO"/>
              </w:rPr>
              <w:t>,</w:t>
            </w:r>
            <w:r w:rsidRPr="000E4228">
              <w:rPr>
                <w:rFonts w:ascii="Verdana" w:eastAsia="Times New Roman" w:hAnsi="Verdana" w:cs="Calibri"/>
                <w:color w:val="000000"/>
                <w:sz w:val="20"/>
                <w:szCs w:val="20"/>
                <w:lang w:eastAsia="es-CO"/>
              </w:rPr>
              <w:t xml:space="preserve"> según la codificación publicada en la página web de la SFC en la sección:</w:t>
            </w:r>
          </w:p>
          <w:p w14:paraId="5FB3B6E5" w14:textId="77777777" w:rsidR="00663431" w:rsidRPr="00663431" w:rsidRDefault="00663431" w:rsidP="00663431">
            <w:pPr>
              <w:jc w:val="both"/>
              <w:rPr>
                <w:rFonts w:ascii="Verdana" w:hAnsi="Verdana" w:cs="Verdana"/>
                <w:color w:val="FF0000"/>
                <w:sz w:val="20"/>
                <w:szCs w:val="20"/>
              </w:rPr>
            </w:pPr>
          </w:p>
          <w:p w14:paraId="100ABC5E" w14:textId="77777777" w:rsidR="00285B10" w:rsidRDefault="00285B10" w:rsidP="00B37DDA">
            <w:pPr>
              <w:jc w:val="both"/>
              <w:outlineLvl w:val="0"/>
              <w:rPr>
                <w:rFonts w:ascii="Verdana" w:eastAsia="Times New Roman" w:hAnsi="Verdana" w:cs="Calibri"/>
                <w:i/>
                <w:iCs/>
                <w:color w:val="000000"/>
                <w:sz w:val="20"/>
                <w:szCs w:val="20"/>
                <w:lang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Pr="009C2E0F">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11F49181" w14:textId="77777777" w:rsidR="00FA224B" w:rsidRDefault="00FA224B" w:rsidP="00B37DDA">
            <w:pPr>
              <w:jc w:val="both"/>
              <w:outlineLvl w:val="0"/>
              <w:rPr>
                <w:rFonts w:ascii="Verdana" w:eastAsia="Times New Roman" w:hAnsi="Verdana" w:cs="Calibri"/>
                <w:i/>
                <w:iCs/>
                <w:color w:val="000000"/>
                <w:sz w:val="20"/>
                <w:szCs w:val="20"/>
                <w:lang w:eastAsia="es-CO"/>
              </w:rPr>
            </w:pPr>
          </w:p>
          <w:p w14:paraId="6E8383E1" w14:textId="2E408F02" w:rsidR="00E70477" w:rsidRDefault="00AA451B" w:rsidP="00E70477">
            <w:pPr>
              <w:jc w:val="both"/>
              <w:outlineLvl w:val="0"/>
              <w:rPr>
                <w:rFonts w:ascii="Verdana" w:hAnsi="Verdana"/>
                <w:color w:val="000000"/>
                <w:sz w:val="20"/>
                <w:szCs w:val="20"/>
              </w:rPr>
            </w:pPr>
            <w:r>
              <w:rPr>
                <w:rFonts w:ascii="Verdana" w:hAnsi="Verdana"/>
                <w:color w:val="000000"/>
                <w:sz w:val="20"/>
                <w:szCs w:val="20"/>
              </w:rPr>
              <w:t>También es o</w:t>
            </w:r>
            <w:r w:rsidR="00E70477">
              <w:rPr>
                <w:rFonts w:ascii="Verdana" w:hAnsi="Verdana"/>
                <w:color w:val="000000"/>
                <w:sz w:val="20"/>
                <w:szCs w:val="20"/>
              </w:rPr>
              <w:t xml:space="preserve">bligatorio para el reporte de que tratan los numerales </w:t>
            </w:r>
            <w:r w:rsidR="00A727CC">
              <w:rPr>
                <w:rFonts w:ascii="Verdana" w:hAnsi="Verdana"/>
                <w:color w:val="000000"/>
                <w:sz w:val="20"/>
                <w:szCs w:val="20"/>
              </w:rPr>
              <w:t xml:space="preserve">14 (ii), </w:t>
            </w:r>
            <w:r w:rsidR="00E70477">
              <w:rPr>
                <w:rFonts w:ascii="Verdana" w:hAnsi="Verdana"/>
                <w:color w:val="000000"/>
                <w:sz w:val="20"/>
                <w:szCs w:val="20"/>
              </w:rPr>
              <w:t>15, 16, 17</w:t>
            </w:r>
            <w:r w:rsidR="00A62816">
              <w:rPr>
                <w:rFonts w:ascii="Verdana" w:hAnsi="Verdana"/>
                <w:color w:val="000000"/>
                <w:sz w:val="20"/>
                <w:szCs w:val="20"/>
              </w:rPr>
              <w:t>,</w:t>
            </w:r>
            <w:r w:rsidR="001573C8">
              <w:rPr>
                <w:rFonts w:ascii="Verdana" w:hAnsi="Verdana"/>
                <w:color w:val="000000"/>
                <w:sz w:val="20"/>
                <w:szCs w:val="20"/>
              </w:rPr>
              <w:t xml:space="preserve"> </w:t>
            </w:r>
            <w:r w:rsidR="00E70477">
              <w:rPr>
                <w:rFonts w:ascii="Verdana" w:hAnsi="Verdana"/>
                <w:color w:val="000000"/>
                <w:sz w:val="20"/>
                <w:szCs w:val="20"/>
              </w:rPr>
              <w:t>18</w:t>
            </w:r>
            <w:r w:rsidR="00A62816">
              <w:rPr>
                <w:rFonts w:ascii="Verdana" w:hAnsi="Verdana"/>
                <w:color w:val="000000"/>
                <w:sz w:val="20"/>
                <w:szCs w:val="20"/>
              </w:rPr>
              <w:t xml:space="preserve"> </w:t>
            </w:r>
            <w:r w:rsidR="00EA48AD">
              <w:rPr>
                <w:rFonts w:ascii="Verdana" w:hAnsi="Verdana"/>
                <w:color w:val="000000"/>
                <w:sz w:val="20"/>
                <w:szCs w:val="20"/>
              </w:rPr>
              <w:t>y</w:t>
            </w:r>
            <w:r w:rsidR="00A62816">
              <w:rPr>
                <w:rFonts w:ascii="Verdana" w:hAnsi="Verdana"/>
                <w:color w:val="000000"/>
                <w:sz w:val="20"/>
                <w:szCs w:val="20"/>
              </w:rPr>
              <w:t xml:space="preserve"> 31</w:t>
            </w:r>
            <w:r w:rsidR="00E70477">
              <w:rPr>
                <w:rFonts w:ascii="Verdana" w:hAnsi="Verdana"/>
                <w:color w:val="000000"/>
                <w:sz w:val="20"/>
                <w:szCs w:val="20"/>
              </w:rPr>
              <w:t xml:space="preserve"> de las </w:t>
            </w:r>
            <w:r w:rsidR="00E70477" w:rsidRPr="00422DCE">
              <w:rPr>
                <w:rFonts w:ascii="Verdana" w:hAnsi="Verdana"/>
                <w:bCs/>
                <w:sz w:val="20"/>
                <w:szCs w:val="20"/>
              </w:rPr>
              <w:t>«</w:t>
            </w:r>
            <w:r w:rsidR="00E70477" w:rsidRPr="00075DE0">
              <w:rPr>
                <w:rFonts w:ascii="Verdana" w:hAnsi="Verdana"/>
                <w:bCs/>
                <w:sz w:val="20"/>
                <w:szCs w:val="20"/>
              </w:rPr>
              <w:t>Re</w:t>
            </w:r>
            <w:r w:rsidR="00E70477">
              <w:rPr>
                <w:rFonts w:ascii="Verdana" w:hAnsi="Verdana"/>
                <w:bCs/>
                <w:sz w:val="20"/>
                <w:szCs w:val="20"/>
              </w:rPr>
              <w:t>glas generales de diligenciamiento</w:t>
            </w:r>
            <w:r w:rsidR="00E70477" w:rsidRPr="00BD40EF">
              <w:rPr>
                <w:rFonts w:ascii="Verdana" w:hAnsi="Verdana"/>
                <w:bCs/>
                <w:sz w:val="20"/>
                <w:szCs w:val="20"/>
              </w:rPr>
              <w:t>»</w:t>
            </w:r>
            <w:r w:rsidR="00E70477">
              <w:rPr>
                <w:rFonts w:ascii="Verdana" w:hAnsi="Verdana"/>
                <w:bCs/>
                <w:sz w:val="20"/>
                <w:szCs w:val="20"/>
              </w:rPr>
              <w:t xml:space="preserve"> del presente documento.</w:t>
            </w:r>
          </w:p>
          <w:p w14:paraId="3070FC25" w14:textId="7856C0D3" w:rsidR="00FA224B" w:rsidRPr="00A83864" w:rsidRDefault="00FA224B" w:rsidP="00B37DDA">
            <w:pPr>
              <w:jc w:val="both"/>
              <w:outlineLvl w:val="0"/>
              <w:rPr>
                <w:rFonts w:ascii="Verdana" w:hAnsi="Verdana"/>
                <w:color w:val="000000"/>
                <w:sz w:val="20"/>
                <w:szCs w:val="20"/>
              </w:rPr>
            </w:pPr>
          </w:p>
        </w:tc>
      </w:tr>
      <w:tr w:rsidR="00663431" w:rsidRPr="00663431" w14:paraId="353991AD" w14:textId="77777777" w:rsidTr="4923CE6A">
        <w:trPr>
          <w:trHeight w:val="1620"/>
        </w:trPr>
        <w:tc>
          <w:tcPr>
            <w:tcW w:w="1647" w:type="dxa"/>
            <w:vAlign w:val="center"/>
          </w:tcPr>
          <w:p w14:paraId="1E18D958"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Calidad</w:t>
            </w:r>
          </w:p>
          <w:p w14:paraId="0726F487" w14:textId="03565E43" w:rsidR="00663431" w:rsidRPr="00663431" w:rsidRDefault="00E7009B" w:rsidP="00663431">
            <w:pPr>
              <w:jc w:val="center"/>
              <w:rPr>
                <w:rFonts w:ascii="Verdana" w:hAnsi="Verdana"/>
                <w:sz w:val="20"/>
                <w:szCs w:val="20"/>
              </w:rPr>
            </w:pPr>
            <w:r>
              <w:rPr>
                <w:rFonts w:ascii="Verdana" w:hAnsi="Verdana" w:cs="Verdana"/>
                <w:sz w:val="20"/>
                <w:szCs w:val="20"/>
              </w:rPr>
              <w:t>d</w:t>
            </w:r>
            <w:r w:rsidR="00663431" w:rsidRPr="00663431">
              <w:rPr>
                <w:rFonts w:ascii="Verdana" w:hAnsi="Verdana" w:cs="Verdana"/>
                <w:sz w:val="20"/>
                <w:szCs w:val="20"/>
              </w:rPr>
              <w:t>eudor</w:t>
            </w:r>
          </w:p>
        </w:tc>
        <w:tc>
          <w:tcPr>
            <w:tcW w:w="3177" w:type="dxa"/>
            <w:vAlign w:val="center"/>
          </w:tcPr>
          <w:p w14:paraId="7C7F95BD" w14:textId="2C6A5987"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calidad_deudor</w:t>
            </w:r>
          </w:p>
        </w:tc>
        <w:tc>
          <w:tcPr>
            <w:tcW w:w="4243" w:type="dxa"/>
            <w:vAlign w:val="center"/>
          </w:tcPr>
          <w:p w14:paraId="672ED0A1" w14:textId="6C3BA33A" w:rsidR="00663431" w:rsidRPr="00B30AFB" w:rsidRDefault="00663431" w:rsidP="00663431">
            <w:pPr>
              <w:jc w:val="both"/>
              <w:rPr>
                <w:rFonts w:ascii="Verdana" w:hAnsi="Verdana" w:cs="Verdana"/>
                <w:sz w:val="20"/>
                <w:szCs w:val="20"/>
              </w:rPr>
            </w:pPr>
            <w:r w:rsidRPr="00B30AFB">
              <w:rPr>
                <w:rFonts w:ascii="Verdana" w:hAnsi="Verdana" w:cs="Verdana"/>
                <w:sz w:val="20"/>
                <w:szCs w:val="20"/>
              </w:rPr>
              <w:t>Registre el código</w:t>
            </w:r>
            <w:r w:rsidR="00F40B0E">
              <w:rPr>
                <w:rFonts w:ascii="Verdana" w:hAnsi="Verdana" w:cs="Verdana"/>
                <w:sz w:val="20"/>
                <w:szCs w:val="20"/>
              </w:rPr>
              <w:t xml:space="preserve"> </w:t>
            </w:r>
            <w:r w:rsidRPr="00B30AFB">
              <w:rPr>
                <w:rFonts w:ascii="Verdana" w:hAnsi="Verdana" w:cs="Verdana"/>
                <w:sz w:val="20"/>
                <w:szCs w:val="20"/>
              </w:rPr>
              <w:t>de la calidad del deudor según la codificación publicada en la página web de la SFC en la sección:</w:t>
            </w:r>
          </w:p>
          <w:p w14:paraId="760082F6" w14:textId="0A069EC9" w:rsidR="00663431" w:rsidRPr="00B30AFB" w:rsidRDefault="00663431" w:rsidP="00663431">
            <w:pPr>
              <w:jc w:val="both"/>
              <w:rPr>
                <w:rFonts w:ascii="Verdana" w:hAnsi="Verdana" w:cs="Verdana"/>
                <w:sz w:val="20"/>
                <w:szCs w:val="20"/>
              </w:rPr>
            </w:pPr>
          </w:p>
          <w:p w14:paraId="270790C9" w14:textId="77777777" w:rsidR="00663431" w:rsidRDefault="00663431" w:rsidP="00663431">
            <w:pPr>
              <w:jc w:val="both"/>
              <w:rPr>
                <w:rFonts w:ascii="Verdana" w:hAnsi="Verdana" w:cs="Verdana"/>
                <w:i/>
                <w:iCs/>
                <w:sz w:val="20"/>
                <w:szCs w:val="20"/>
              </w:rPr>
            </w:pPr>
            <w:r w:rsidRPr="00B30AFB">
              <w:rPr>
                <w:rFonts w:ascii="Verdana" w:hAnsi="Verdana" w:cs="Verdana"/>
                <w:i/>
                <w:iCs/>
                <w:sz w:val="20"/>
                <w:szCs w:val="20"/>
              </w:rPr>
              <w:t>Inicio</w:t>
            </w:r>
            <w:r w:rsidR="00C509DF">
              <w:rPr>
                <w:rFonts w:ascii="Verdana" w:hAnsi="Verdana" w:cs="Verdana"/>
                <w:i/>
                <w:iCs/>
                <w:sz w:val="20"/>
                <w:szCs w:val="20"/>
              </w:rPr>
              <w:t xml:space="preserve"> </w:t>
            </w:r>
            <w:r w:rsidRPr="00B30AFB">
              <w:rPr>
                <w:rFonts w:ascii="Verdana" w:hAnsi="Verdana" w:cs="Verdana"/>
                <w:i/>
                <w:iCs/>
                <w:sz w:val="20"/>
                <w:szCs w:val="20"/>
              </w:rPr>
              <w:t>/</w:t>
            </w:r>
            <w:r w:rsidR="00C509DF">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w:t>
            </w:r>
            <w:r w:rsidRPr="00B30AFB">
              <w:rPr>
                <w:rFonts w:ascii="Verdana" w:hAnsi="Verdana" w:cs="Verdana"/>
                <w:i/>
                <w:iCs/>
                <w:sz w:val="20"/>
                <w:szCs w:val="20"/>
              </w:rPr>
              <w:lastRenderedPageBreak/>
              <w:t xml:space="preserve">información / </w:t>
            </w:r>
            <w:r w:rsidR="00B30AFB" w:rsidRPr="00B30AFB">
              <w:rPr>
                <w:rFonts w:ascii="Verdana" w:hAnsi="Verdana" w:cs="Verdana"/>
                <w:i/>
                <w:iCs/>
                <w:sz w:val="20"/>
                <w:szCs w:val="20"/>
              </w:rPr>
              <w:t>Tablas MURIC – Información general de los deudores y créditos, hoja Calidad deudor</w:t>
            </w:r>
          </w:p>
          <w:p w14:paraId="1E95DB70" w14:textId="77777777" w:rsidR="00705E9A" w:rsidRDefault="00705E9A" w:rsidP="00663431">
            <w:pPr>
              <w:jc w:val="both"/>
              <w:rPr>
                <w:rFonts w:ascii="Verdana" w:hAnsi="Verdana" w:cs="Verdana"/>
                <w:i/>
                <w:iCs/>
                <w:sz w:val="20"/>
                <w:szCs w:val="20"/>
              </w:rPr>
            </w:pPr>
          </w:p>
          <w:p w14:paraId="45A0646D" w14:textId="2987EC60" w:rsidR="00705E9A" w:rsidRPr="003C1C55" w:rsidRDefault="00AA451B" w:rsidP="003C1C55">
            <w:pPr>
              <w:jc w:val="both"/>
              <w:outlineLvl w:val="0"/>
              <w:rPr>
                <w:rFonts w:ascii="Verdana" w:hAnsi="Verdana"/>
                <w:color w:val="000000"/>
                <w:sz w:val="20"/>
                <w:szCs w:val="20"/>
              </w:rPr>
            </w:pPr>
            <w:r>
              <w:rPr>
                <w:rFonts w:ascii="Verdana" w:hAnsi="Verdana"/>
                <w:color w:val="000000"/>
                <w:sz w:val="20"/>
                <w:szCs w:val="20"/>
              </w:rPr>
              <w:t>También es o</w:t>
            </w:r>
            <w:r w:rsidR="00705E9A">
              <w:rPr>
                <w:rFonts w:ascii="Verdana" w:hAnsi="Verdana"/>
                <w:color w:val="000000"/>
                <w:sz w:val="20"/>
                <w:szCs w:val="20"/>
              </w:rPr>
              <w:t xml:space="preserve">bligatorio para el reporte de que tratan los numerales </w:t>
            </w:r>
            <w:r w:rsidR="00A727CC">
              <w:rPr>
                <w:rFonts w:ascii="Verdana" w:hAnsi="Verdana"/>
                <w:color w:val="000000"/>
                <w:sz w:val="20"/>
                <w:szCs w:val="20"/>
              </w:rPr>
              <w:t xml:space="preserve">14 (ii), </w:t>
            </w:r>
            <w:r w:rsidR="00705E9A">
              <w:rPr>
                <w:rFonts w:ascii="Verdana" w:hAnsi="Verdana"/>
                <w:color w:val="000000"/>
                <w:sz w:val="20"/>
                <w:szCs w:val="20"/>
              </w:rPr>
              <w:t>15, 16, 17</w:t>
            </w:r>
            <w:r w:rsidR="00A62816">
              <w:rPr>
                <w:rFonts w:ascii="Verdana" w:hAnsi="Verdana"/>
                <w:color w:val="000000"/>
                <w:sz w:val="20"/>
                <w:szCs w:val="20"/>
              </w:rPr>
              <w:t>,</w:t>
            </w:r>
            <w:r w:rsidR="00880167">
              <w:rPr>
                <w:rFonts w:ascii="Verdana" w:hAnsi="Verdana"/>
                <w:color w:val="000000"/>
                <w:sz w:val="20"/>
                <w:szCs w:val="20"/>
              </w:rPr>
              <w:t xml:space="preserve"> </w:t>
            </w:r>
            <w:r w:rsidR="00705E9A">
              <w:rPr>
                <w:rFonts w:ascii="Verdana" w:hAnsi="Verdana"/>
                <w:color w:val="000000"/>
                <w:sz w:val="20"/>
                <w:szCs w:val="20"/>
              </w:rPr>
              <w:t>18</w:t>
            </w:r>
            <w:r w:rsidR="00A62816">
              <w:rPr>
                <w:rFonts w:ascii="Verdana" w:hAnsi="Verdana"/>
                <w:color w:val="000000"/>
                <w:sz w:val="20"/>
                <w:szCs w:val="20"/>
              </w:rPr>
              <w:t xml:space="preserve"> </w:t>
            </w:r>
            <w:r w:rsidR="00EA48AD">
              <w:rPr>
                <w:rFonts w:ascii="Verdana" w:hAnsi="Verdana"/>
                <w:color w:val="000000"/>
                <w:sz w:val="20"/>
                <w:szCs w:val="20"/>
              </w:rPr>
              <w:t>y</w:t>
            </w:r>
            <w:r w:rsidR="00A62816">
              <w:rPr>
                <w:rFonts w:ascii="Verdana" w:hAnsi="Verdana"/>
                <w:color w:val="000000"/>
                <w:sz w:val="20"/>
                <w:szCs w:val="20"/>
              </w:rPr>
              <w:t xml:space="preserve"> 31</w:t>
            </w:r>
            <w:r w:rsidR="00705E9A">
              <w:rPr>
                <w:rFonts w:ascii="Verdana" w:hAnsi="Verdana"/>
                <w:color w:val="000000"/>
                <w:sz w:val="20"/>
                <w:szCs w:val="20"/>
              </w:rPr>
              <w:t xml:space="preserve"> de las </w:t>
            </w:r>
            <w:r w:rsidR="00705E9A" w:rsidRPr="00422DCE">
              <w:rPr>
                <w:rFonts w:ascii="Verdana" w:hAnsi="Verdana"/>
                <w:bCs/>
                <w:sz w:val="20"/>
                <w:szCs w:val="20"/>
              </w:rPr>
              <w:t>«</w:t>
            </w:r>
            <w:r w:rsidR="00705E9A" w:rsidRPr="00075DE0">
              <w:rPr>
                <w:rFonts w:ascii="Verdana" w:hAnsi="Verdana"/>
                <w:bCs/>
                <w:sz w:val="20"/>
                <w:szCs w:val="20"/>
              </w:rPr>
              <w:t>Re</w:t>
            </w:r>
            <w:r w:rsidR="00705E9A">
              <w:rPr>
                <w:rFonts w:ascii="Verdana" w:hAnsi="Verdana"/>
                <w:bCs/>
                <w:sz w:val="20"/>
                <w:szCs w:val="20"/>
              </w:rPr>
              <w:t>glas generales de diligenciamiento</w:t>
            </w:r>
            <w:r w:rsidR="00705E9A" w:rsidRPr="00BD40EF">
              <w:rPr>
                <w:rFonts w:ascii="Verdana" w:hAnsi="Verdana"/>
                <w:bCs/>
                <w:sz w:val="20"/>
                <w:szCs w:val="20"/>
              </w:rPr>
              <w:t>»</w:t>
            </w:r>
            <w:r w:rsidR="00705E9A">
              <w:rPr>
                <w:rFonts w:ascii="Verdana" w:hAnsi="Verdana"/>
                <w:bCs/>
                <w:sz w:val="20"/>
                <w:szCs w:val="20"/>
              </w:rPr>
              <w:t xml:space="preserve"> del presente documento.</w:t>
            </w:r>
          </w:p>
        </w:tc>
      </w:tr>
      <w:tr w:rsidR="00663431" w:rsidRPr="00663431" w14:paraId="498D651D" w14:textId="77777777" w:rsidTr="4923CE6A">
        <w:trPr>
          <w:trHeight w:val="1620"/>
        </w:trPr>
        <w:tc>
          <w:tcPr>
            <w:tcW w:w="1647" w:type="dxa"/>
            <w:vAlign w:val="center"/>
          </w:tcPr>
          <w:p w14:paraId="06F951AF"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lastRenderedPageBreak/>
              <w:t>Fecha</w:t>
            </w:r>
          </w:p>
          <w:p w14:paraId="7C9658C9" w14:textId="553FCB48" w:rsidR="00663431" w:rsidRPr="00663431" w:rsidRDefault="00E7009B" w:rsidP="00663431">
            <w:pPr>
              <w:jc w:val="center"/>
              <w:rPr>
                <w:rFonts w:ascii="Verdana" w:hAnsi="Verdana"/>
                <w:sz w:val="20"/>
                <w:szCs w:val="20"/>
              </w:rPr>
            </w:pPr>
            <w:r>
              <w:rPr>
                <w:rFonts w:ascii="Verdana" w:hAnsi="Verdana" w:cs="Verdana"/>
                <w:sz w:val="20"/>
                <w:szCs w:val="20"/>
              </w:rPr>
              <w:t>d</w:t>
            </w:r>
            <w:r w:rsidR="00663431" w:rsidRPr="00663431">
              <w:rPr>
                <w:rFonts w:ascii="Verdana" w:hAnsi="Verdana" w:cs="Verdana"/>
                <w:sz w:val="20"/>
                <w:szCs w:val="20"/>
              </w:rPr>
              <w:t>esembolso</w:t>
            </w:r>
          </w:p>
        </w:tc>
        <w:tc>
          <w:tcPr>
            <w:tcW w:w="3177" w:type="dxa"/>
            <w:vAlign w:val="center"/>
          </w:tcPr>
          <w:p w14:paraId="2ED9070A" w14:textId="399AEEA3"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fecha_desembolso</w:t>
            </w:r>
          </w:p>
        </w:tc>
        <w:tc>
          <w:tcPr>
            <w:tcW w:w="4243" w:type="dxa"/>
            <w:vAlign w:val="center"/>
          </w:tcPr>
          <w:p w14:paraId="4CC76BF8" w14:textId="1A84DAF8" w:rsidR="00F40B0E" w:rsidRDefault="00663431" w:rsidP="00663431">
            <w:pPr>
              <w:autoSpaceDE w:val="0"/>
              <w:autoSpaceDN w:val="0"/>
              <w:adjustRightInd w:val="0"/>
              <w:jc w:val="both"/>
              <w:rPr>
                <w:rFonts w:ascii="Verdana" w:hAnsi="Verdana" w:cs="Verdana"/>
                <w:sz w:val="20"/>
                <w:szCs w:val="20"/>
              </w:rPr>
            </w:pPr>
            <w:r w:rsidRPr="000519EE">
              <w:rPr>
                <w:rFonts w:ascii="Verdana" w:hAnsi="Verdana" w:cs="Verdana"/>
                <w:sz w:val="20"/>
                <w:szCs w:val="20"/>
              </w:rPr>
              <w:t>Registre la fecha inicial de</w:t>
            </w:r>
            <w:r w:rsidR="00E13470">
              <w:rPr>
                <w:rFonts w:ascii="Verdana" w:hAnsi="Verdana" w:cs="Verdana"/>
                <w:sz w:val="20"/>
                <w:szCs w:val="20"/>
              </w:rPr>
              <w:t xml:space="preserve"> desembolso del crédito</w:t>
            </w:r>
            <w:r w:rsidR="00F77DD1">
              <w:rPr>
                <w:rFonts w:ascii="Verdana" w:hAnsi="Verdana" w:cs="Verdana"/>
                <w:sz w:val="20"/>
                <w:szCs w:val="20"/>
              </w:rPr>
              <w:t>, esto es, la fecha de entrega de los recursos al deudor</w:t>
            </w:r>
            <w:r w:rsidR="00D43EF4">
              <w:rPr>
                <w:rFonts w:ascii="Verdana" w:hAnsi="Verdana" w:cs="Verdana"/>
                <w:sz w:val="20"/>
                <w:szCs w:val="20"/>
              </w:rPr>
              <w:t>, bajo el formato YYYY-MM-DD</w:t>
            </w:r>
            <w:r w:rsidR="00F77DD1">
              <w:rPr>
                <w:rFonts w:ascii="Verdana" w:hAnsi="Verdana" w:cs="Verdana"/>
                <w:sz w:val="20"/>
                <w:szCs w:val="20"/>
              </w:rPr>
              <w:t>.</w:t>
            </w:r>
          </w:p>
          <w:p w14:paraId="428A9A70" w14:textId="77777777" w:rsidR="00F40B0E" w:rsidRDefault="00F40B0E" w:rsidP="00663431">
            <w:pPr>
              <w:autoSpaceDE w:val="0"/>
              <w:autoSpaceDN w:val="0"/>
              <w:adjustRightInd w:val="0"/>
              <w:jc w:val="both"/>
              <w:rPr>
                <w:rFonts w:ascii="Verdana" w:hAnsi="Verdana" w:cs="Verdana"/>
                <w:sz w:val="20"/>
                <w:szCs w:val="20"/>
              </w:rPr>
            </w:pPr>
          </w:p>
          <w:p w14:paraId="15E490F5" w14:textId="73E5DC1F" w:rsidR="00E70477" w:rsidRDefault="00D07DFF" w:rsidP="00E70477">
            <w:pPr>
              <w:jc w:val="both"/>
              <w:outlineLvl w:val="0"/>
              <w:rPr>
                <w:rFonts w:ascii="Verdana" w:hAnsi="Verdana"/>
                <w:bCs/>
                <w:sz w:val="20"/>
                <w:szCs w:val="20"/>
              </w:rPr>
            </w:pPr>
            <w:r>
              <w:rPr>
                <w:rFonts w:ascii="Verdana" w:hAnsi="Verdana"/>
                <w:color w:val="000000"/>
                <w:sz w:val="20"/>
                <w:szCs w:val="20"/>
              </w:rPr>
              <w:t>También es o</w:t>
            </w:r>
            <w:r w:rsidR="00E70477">
              <w:rPr>
                <w:rFonts w:ascii="Verdana" w:hAnsi="Verdana"/>
                <w:color w:val="000000"/>
                <w:sz w:val="20"/>
                <w:szCs w:val="20"/>
              </w:rPr>
              <w:t xml:space="preserve">bligatorio para el reporte de que tratan los numerales </w:t>
            </w:r>
            <w:r w:rsidR="00A727CC">
              <w:rPr>
                <w:rFonts w:ascii="Verdana" w:hAnsi="Verdana"/>
                <w:color w:val="000000"/>
                <w:sz w:val="20"/>
                <w:szCs w:val="20"/>
              </w:rPr>
              <w:t xml:space="preserve">14 (ii), </w:t>
            </w:r>
            <w:r w:rsidR="00E70477">
              <w:rPr>
                <w:rFonts w:ascii="Verdana" w:hAnsi="Verdana"/>
                <w:color w:val="000000"/>
                <w:sz w:val="20"/>
                <w:szCs w:val="20"/>
              </w:rPr>
              <w:t>15, 16, 17</w:t>
            </w:r>
            <w:r w:rsidR="00A62816">
              <w:rPr>
                <w:rFonts w:ascii="Verdana" w:hAnsi="Verdana"/>
                <w:color w:val="000000"/>
                <w:sz w:val="20"/>
                <w:szCs w:val="20"/>
              </w:rPr>
              <w:t>,</w:t>
            </w:r>
            <w:r w:rsidR="001573C8">
              <w:rPr>
                <w:rFonts w:ascii="Verdana" w:hAnsi="Verdana"/>
                <w:color w:val="000000"/>
                <w:sz w:val="20"/>
                <w:szCs w:val="20"/>
              </w:rPr>
              <w:t xml:space="preserve"> </w:t>
            </w:r>
            <w:r w:rsidR="00E70477">
              <w:rPr>
                <w:rFonts w:ascii="Verdana" w:hAnsi="Verdana"/>
                <w:color w:val="000000"/>
                <w:sz w:val="20"/>
                <w:szCs w:val="20"/>
              </w:rPr>
              <w:t>18</w:t>
            </w:r>
            <w:r w:rsidR="00A62816">
              <w:rPr>
                <w:rFonts w:ascii="Verdana" w:hAnsi="Verdana"/>
                <w:color w:val="000000"/>
                <w:sz w:val="20"/>
                <w:szCs w:val="20"/>
              </w:rPr>
              <w:t xml:space="preserve"> </w:t>
            </w:r>
            <w:r w:rsidR="00EA48AD">
              <w:rPr>
                <w:rFonts w:ascii="Verdana" w:hAnsi="Verdana"/>
                <w:color w:val="000000"/>
                <w:sz w:val="20"/>
                <w:szCs w:val="20"/>
              </w:rPr>
              <w:t>y</w:t>
            </w:r>
            <w:r w:rsidR="00A62816">
              <w:rPr>
                <w:rFonts w:ascii="Verdana" w:hAnsi="Verdana"/>
                <w:color w:val="000000"/>
                <w:sz w:val="20"/>
                <w:szCs w:val="20"/>
              </w:rPr>
              <w:t xml:space="preserve"> 31</w:t>
            </w:r>
            <w:r w:rsidR="00E70477">
              <w:rPr>
                <w:rFonts w:ascii="Verdana" w:hAnsi="Verdana"/>
                <w:color w:val="000000"/>
                <w:sz w:val="20"/>
                <w:szCs w:val="20"/>
              </w:rPr>
              <w:t xml:space="preserve"> de las </w:t>
            </w:r>
            <w:r w:rsidR="00E70477" w:rsidRPr="00422DCE">
              <w:rPr>
                <w:rFonts w:ascii="Verdana" w:hAnsi="Verdana"/>
                <w:bCs/>
                <w:sz w:val="20"/>
                <w:szCs w:val="20"/>
              </w:rPr>
              <w:t>«</w:t>
            </w:r>
            <w:r w:rsidR="00E70477" w:rsidRPr="00075DE0">
              <w:rPr>
                <w:rFonts w:ascii="Verdana" w:hAnsi="Verdana"/>
                <w:bCs/>
                <w:sz w:val="20"/>
                <w:szCs w:val="20"/>
              </w:rPr>
              <w:t>Re</w:t>
            </w:r>
            <w:r w:rsidR="00E70477">
              <w:rPr>
                <w:rFonts w:ascii="Verdana" w:hAnsi="Verdana"/>
                <w:bCs/>
                <w:sz w:val="20"/>
                <w:szCs w:val="20"/>
              </w:rPr>
              <w:t>glas generales de diligenciamiento</w:t>
            </w:r>
            <w:r w:rsidR="00E70477" w:rsidRPr="00BD40EF">
              <w:rPr>
                <w:rFonts w:ascii="Verdana" w:hAnsi="Verdana"/>
                <w:bCs/>
                <w:sz w:val="20"/>
                <w:szCs w:val="20"/>
              </w:rPr>
              <w:t>»</w:t>
            </w:r>
            <w:r w:rsidR="00E70477">
              <w:rPr>
                <w:rFonts w:ascii="Verdana" w:hAnsi="Verdana"/>
                <w:bCs/>
                <w:sz w:val="20"/>
                <w:szCs w:val="20"/>
              </w:rPr>
              <w:t xml:space="preserve"> del presente documento.</w:t>
            </w:r>
          </w:p>
          <w:p w14:paraId="28920C01" w14:textId="77777777" w:rsidR="00B00C9C" w:rsidRDefault="00B00C9C" w:rsidP="00E70477">
            <w:pPr>
              <w:jc w:val="both"/>
              <w:outlineLvl w:val="0"/>
              <w:rPr>
                <w:rFonts w:ascii="Verdana" w:hAnsi="Verdana"/>
                <w:bCs/>
                <w:color w:val="000000"/>
                <w:sz w:val="20"/>
                <w:szCs w:val="20"/>
              </w:rPr>
            </w:pPr>
          </w:p>
          <w:p w14:paraId="792AC40D" w14:textId="52947AB7" w:rsidR="00B00C9C" w:rsidRPr="00D5566A" w:rsidRDefault="1B731FF0" w:rsidP="4923CE6A">
            <w:pPr>
              <w:jc w:val="both"/>
              <w:outlineLvl w:val="0"/>
              <w:rPr>
                <w:rFonts w:ascii="Verdana" w:hAnsi="Verdana"/>
                <w:color w:val="000000"/>
                <w:sz w:val="20"/>
                <w:szCs w:val="20"/>
              </w:rPr>
            </w:pPr>
            <w:r w:rsidRPr="00E64F17">
              <w:rPr>
                <w:rFonts w:ascii="Verdana" w:hAnsi="Verdana"/>
                <w:color w:val="000000" w:themeColor="text1"/>
                <w:sz w:val="20"/>
                <w:szCs w:val="20"/>
              </w:rPr>
              <w:t>En el caso de tarjetas de crédito, sobregiros y productos rotativos, la fecha de desembolso corresponde a la fecha de emisión o creación del producto y no a las posteriores utilizaciones que se realicen sobre el mismo. En consecuencia, este campo no debe reportarse como nulo, aun cuando el cliente no haya efectuado consumos en un período determinado. Debe resaltarse que el reporte de este tipo de operaciones se realiza de manera agregada por producto, y no por cada utilización efectuada en el mes. En tal sentido, las entidades vigiladas no deben remitir múltiples registros por cada transacción o disposición realizada, sino reportar una única vez por mes el saldo de cartera correspondiente al producto al cierre del período de corte.</w:t>
            </w:r>
          </w:p>
          <w:p w14:paraId="56EFD363" w14:textId="3D3B60E2" w:rsidR="00663431" w:rsidRPr="000519EE" w:rsidRDefault="00663431" w:rsidP="00663431">
            <w:pPr>
              <w:autoSpaceDE w:val="0"/>
              <w:autoSpaceDN w:val="0"/>
              <w:adjustRightInd w:val="0"/>
              <w:jc w:val="both"/>
              <w:rPr>
                <w:rFonts w:ascii="Verdana" w:hAnsi="Verdana" w:cs="Verdana"/>
                <w:sz w:val="20"/>
                <w:szCs w:val="20"/>
              </w:rPr>
            </w:pPr>
          </w:p>
        </w:tc>
      </w:tr>
      <w:tr w:rsidR="00663431" w:rsidRPr="00663431" w14:paraId="695032D1" w14:textId="77777777" w:rsidTr="4923CE6A">
        <w:trPr>
          <w:trHeight w:val="1620"/>
        </w:trPr>
        <w:tc>
          <w:tcPr>
            <w:tcW w:w="1647" w:type="dxa"/>
            <w:vAlign w:val="center"/>
          </w:tcPr>
          <w:p w14:paraId="07C1AB86"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lastRenderedPageBreak/>
              <w:t>Fecha</w:t>
            </w:r>
          </w:p>
          <w:p w14:paraId="0D65BE6F" w14:textId="710D8C86" w:rsidR="00663431" w:rsidRPr="00663431" w:rsidRDefault="00E7009B" w:rsidP="00663431">
            <w:pPr>
              <w:jc w:val="center"/>
              <w:rPr>
                <w:rFonts w:ascii="Verdana" w:hAnsi="Verdana"/>
                <w:sz w:val="20"/>
                <w:szCs w:val="20"/>
              </w:rPr>
            </w:pPr>
            <w:r>
              <w:rPr>
                <w:rFonts w:ascii="Verdana" w:hAnsi="Verdana" w:cs="Verdana"/>
                <w:sz w:val="20"/>
                <w:szCs w:val="20"/>
              </w:rPr>
              <w:t>v</w:t>
            </w:r>
            <w:r w:rsidR="00663431" w:rsidRPr="00663431">
              <w:rPr>
                <w:rFonts w:ascii="Verdana" w:hAnsi="Verdana" w:cs="Verdana"/>
                <w:sz w:val="20"/>
                <w:szCs w:val="20"/>
              </w:rPr>
              <w:t>encimiento</w:t>
            </w:r>
          </w:p>
        </w:tc>
        <w:tc>
          <w:tcPr>
            <w:tcW w:w="3177" w:type="dxa"/>
            <w:vAlign w:val="center"/>
          </w:tcPr>
          <w:p w14:paraId="134764B8" w14:textId="7C9A8873"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fecha_vencimiento</w:t>
            </w:r>
          </w:p>
        </w:tc>
        <w:tc>
          <w:tcPr>
            <w:tcW w:w="4243" w:type="dxa"/>
            <w:vAlign w:val="center"/>
          </w:tcPr>
          <w:p w14:paraId="08DC7681" w14:textId="54B7929A" w:rsidR="00663431" w:rsidRDefault="00663431" w:rsidP="00663431">
            <w:pPr>
              <w:autoSpaceDE w:val="0"/>
              <w:autoSpaceDN w:val="0"/>
              <w:adjustRightInd w:val="0"/>
              <w:jc w:val="both"/>
              <w:rPr>
                <w:rFonts w:ascii="Verdana" w:hAnsi="Verdana" w:cs="Verdana"/>
                <w:sz w:val="20"/>
                <w:szCs w:val="20"/>
              </w:rPr>
            </w:pPr>
            <w:r w:rsidRPr="00C427C4">
              <w:rPr>
                <w:rFonts w:ascii="Verdana" w:hAnsi="Verdana" w:cs="Verdana"/>
                <w:sz w:val="20"/>
                <w:szCs w:val="20"/>
              </w:rPr>
              <w:t>Registre la fecha de vencimiento pactada del crédito</w:t>
            </w:r>
            <w:r w:rsidR="007E0980">
              <w:rPr>
                <w:rFonts w:ascii="Verdana" w:hAnsi="Verdana" w:cs="Verdana"/>
                <w:sz w:val="20"/>
                <w:szCs w:val="20"/>
              </w:rPr>
              <w:t xml:space="preserve">, </w:t>
            </w:r>
            <w:r w:rsidR="00221969">
              <w:rPr>
                <w:rFonts w:ascii="Verdana" w:hAnsi="Verdana" w:cs="Verdana"/>
                <w:sz w:val="20"/>
                <w:szCs w:val="20"/>
              </w:rPr>
              <w:t>según las condiciones contractuales iniciales o modificadas posteriormente</w:t>
            </w:r>
            <w:r w:rsidR="002B6714">
              <w:rPr>
                <w:rFonts w:ascii="Verdana" w:hAnsi="Verdana" w:cs="Verdana"/>
                <w:sz w:val="20"/>
                <w:szCs w:val="20"/>
              </w:rPr>
              <w:t xml:space="preserve">, </w:t>
            </w:r>
            <w:r w:rsidR="000661A1">
              <w:rPr>
                <w:rFonts w:ascii="Verdana" w:hAnsi="Verdana" w:cs="Verdana"/>
                <w:sz w:val="20"/>
                <w:szCs w:val="20"/>
              </w:rPr>
              <w:t>bajo el forma</w:t>
            </w:r>
            <w:r w:rsidR="00A82E48">
              <w:rPr>
                <w:rFonts w:ascii="Verdana" w:hAnsi="Verdana" w:cs="Verdana"/>
                <w:sz w:val="20"/>
                <w:szCs w:val="20"/>
              </w:rPr>
              <w:t>to YYYY-MM-DD</w:t>
            </w:r>
            <w:r w:rsidRPr="00C427C4">
              <w:rPr>
                <w:rFonts w:ascii="Verdana" w:hAnsi="Verdana" w:cs="Verdana"/>
                <w:sz w:val="20"/>
                <w:szCs w:val="20"/>
              </w:rPr>
              <w:t xml:space="preserve">. </w:t>
            </w:r>
            <w:r w:rsidR="00F64CD3" w:rsidRPr="003C1C55">
              <w:rPr>
                <w:rFonts w:ascii="Verdana" w:hAnsi="Verdana" w:cs="Verdana"/>
                <w:sz w:val="20"/>
                <w:szCs w:val="20"/>
              </w:rPr>
              <w:t>Cuando</w:t>
            </w:r>
            <w:r w:rsidR="00860C59" w:rsidRPr="003C1C55">
              <w:rPr>
                <w:rFonts w:ascii="Verdana" w:hAnsi="Verdana" w:cs="Verdana"/>
                <w:sz w:val="20"/>
                <w:szCs w:val="20"/>
              </w:rPr>
              <w:t xml:space="preserve"> una operación</w:t>
            </w:r>
            <w:r w:rsidRPr="003C1C55">
              <w:rPr>
                <w:rFonts w:ascii="Verdana" w:hAnsi="Verdana" w:cs="Verdana"/>
                <w:sz w:val="20"/>
                <w:szCs w:val="20"/>
              </w:rPr>
              <w:t xml:space="preserve"> no </w:t>
            </w:r>
            <w:r w:rsidR="00C85B0E" w:rsidRPr="003C1C55">
              <w:rPr>
                <w:rFonts w:ascii="Verdana" w:hAnsi="Verdana" w:cs="Verdana"/>
                <w:sz w:val="20"/>
                <w:szCs w:val="20"/>
              </w:rPr>
              <w:t xml:space="preserve">tenga </w:t>
            </w:r>
            <w:r w:rsidRPr="003C1C55">
              <w:rPr>
                <w:rFonts w:ascii="Verdana" w:hAnsi="Verdana" w:cs="Verdana"/>
                <w:sz w:val="20"/>
                <w:szCs w:val="20"/>
              </w:rPr>
              <w:t>fecha de finalización específica</w:t>
            </w:r>
            <w:r w:rsidR="0086311D" w:rsidRPr="003C1C55">
              <w:rPr>
                <w:rFonts w:ascii="Verdana" w:hAnsi="Verdana" w:cs="Verdana"/>
                <w:sz w:val="20"/>
                <w:szCs w:val="20"/>
              </w:rPr>
              <w:t>, como en el caso de los créditos rotativos y tarjetas de crédito, entre otros</w:t>
            </w:r>
            <w:r w:rsidR="00860C59" w:rsidRPr="003C1C55">
              <w:rPr>
                <w:rFonts w:ascii="Verdana" w:hAnsi="Verdana" w:cs="Verdana"/>
                <w:sz w:val="20"/>
                <w:szCs w:val="20"/>
              </w:rPr>
              <w:t>,</w:t>
            </w:r>
            <w:r w:rsidRPr="003C1C55">
              <w:rPr>
                <w:rFonts w:ascii="Verdana" w:hAnsi="Verdana" w:cs="Verdana"/>
                <w:sz w:val="20"/>
                <w:szCs w:val="20"/>
              </w:rPr>
              <w:t xml:space="preserve"> registre el campo como nulo.</w:t>
            </w:r>
          </w:p>
          <w:p w14:paraId="7B37AEC8" w14:textId="77777777" w:rsidR="00F40B0E" w:rsidRDefault="00F40B0E" w:rsidP="00663431">
            <w:pPr>
              <w:autoSpaceDE w:val="0"/>
              <w:autoSpaceDN w:val="0"/>
              <w:adjustRightInd w:val="0"/>
              <w:jc w:val="both"/>
              <w:rPr>
                <w:rFonts w:ascii="Verdana" w:hAnsi="Verdana" w:cs="Verdana"/>
                <w:color w:val="FF0000"/>
                <w:sz w:val="20"/>
                <w:szCs w:val="20"/>
              </w:rPr>
            </w:pPr>
          </w:p>
          <w:p w14:paraId="3552F53B" w14:textId="7B733173" w:rsidR="00E70477" w:rsidRDefault="00D07DFF" w:rsidP="00E70477">
            <w:pPr>
              <w:jc w:val="both"/>
              <w:outlineLvl w:val="0"/>
              <w:rPr>
                <w:rFonts w:ascii="Verdana" w:hAnsi="Verdana"/>
                <w:color w:val="000000"/>
                <w:sz w:val="20"/>
                <w:szCs w:val="20"/>
              </w:rPr>
            </w:pPr>
            <w:r>
              <w:rPr>
                <w:rFonts w:ascii="Verdana" w:hAnsi="Verdana"/>
                <w:color w:val="000000"/>
                <w:sz w:val="20"/>
                <w:szCs w:val="20"/>
              </w:rPr>
              <w:t>También es o</w:t>
            </w:r>
            <w:r w:rsidR="00E70477">
              <w:rPr>
                <w:rFonts w:ascii="Verdana" w:hAnsi="Verdana"/>
                <w:color w:val="000000"/>
                <w:sz w:val="20"/>
                <w:szCs w:val="20"/>
              </w:rPr>
              <w:t xml:space="preserve">bligatorio para el reporte de que tratan los numerales </w:t>
            </w:r>
            <w:r w:rsidR="00951FB7">
              <w:rPr>
                <w:rFonts w:ascii="Verdana" w:hAnsi="Verdana"/>
                <w:color w:val="000000"/>
                <w:sz w:val="20"/>
                <w:szCs w:val="20"/>
              </w:rPr>
              <w:t xml:space="preserve">14 (ii), </w:t>
            </w:r>
            <w:r w:rsidR="00E70477">
              <w:rPr>
                <w:rFonts w:ascii="Verdana" w:hAnsi="Verdana"/>
                <w:color w:val="000000"/>
                <w:sz w:val="20"/>
                <w:szCs w:val="20"/>
              </w:rPr>
              <w:t>15, 16, 17</w:t>
            </w:r>
            <w:r w:rsidR="00EA48AD">
              <w:rPr>
                <w:rFonts w:ascii="Verdana" w:hAnsi="Verdana"/>
                <w:color w:val="000000"/>
                <w:sz w:val="20"/>
                <w:szCs w:val="20"/>
              </w:rPr>
              <w:t>,</w:t>
            </w:r>
            <w:r w:rsidR="006131F5">
              <w:rPr>
                <w:rFonts w:ascii="Verdana" w:hAnsi="Verdana"/>
                <w:color w:val="000000"/>
                <w:sz w:val="20"/>
                <w:szCs w:val="20"/>
              </w:rPr>
              <w:t xml:space="preserve"> </w:t>
            </w:r>
            <w:r w:rsidR="00E70477">
              <w:rPr>
                <w:rFonts w:ascii="Verdana" w:hAnsi="Verdana"/>
                <w:color w:val="000000"/>
                <w:sz w:val="20"/>
                <w:szCs w:val="20"/>
              </w:rPr>
              <w:t>18</w:t>
            </w:r>
            <w:r w:rsidR="00EA48AD">
              <w:rPr>
                <w:rFonts w:ascii="Verdana" w:hAnsi="Verdana"/>
                <w:color w:val="000000"/>
                <w:sz w:val="20"/>
                <w:szCs w:val="20"/>
              </w:rPr>
              <w:t xml:space="preserve"> y 31</w:t>
            </w:r>
            <w:r w:rsidR="00E70477">
              <w:rPr>
                <w:rFonts w:ascii="Verdana" w:hAnsi="Verdana"/>
                <w:color w:val="000000"/>
                <w:sz w:val="20"/>
                <w:szCs w:val="20"/>
              </w:rPr>
              <w:t xml:space="preserve"> de las </w:t>
            </w:r>
            <w:r w:rsidR="00E70477" w:rsidRPr="00422DCE">
              <w:rPr>
                <w:rFonts w:ascii="Verdana" w:hAnsi="Verdana"/>
                <w:bCs/>
                <w:sz w:val="20"/>
                <w:szCs w:val="20"/>
              </w:rPr>
              <w:t>«</w:t>
            </w:r>
            <w:r w:rsidR="00E70477" w:rsidRPr="00075DE0">
              <w:rPr>
                <w:rFonts w:ascii="Verdana" w:hAnsi="Verdana"/>
                <w:bCs/>
                <w:sz w:val="20"/>
                <w:szCs w:val="20"/>
              </w:rPr>
              <w:t>Re</w:t>
            </w:r>
            <w:r w:rsidR="00E70477">
              <w:rPr>
                <w:rFonts w:ascii="Verdana" w:hAnsi="Verdana"/>
                <w:bCs/>
                <w:sz w:val="20"/>
                <w:szCs w:val="20"/>
              </w:rPr>
              <w:t>glas generales de diligenciamiento</w:t>
            </w:r>
            <w:r w:rsidR="00E70477" w:rsidRPr="00BD40EF">
              <w:rPr>
                <w:rFonts w:ascii="Verdana" w:hAnsi="Verdana"/>
                <w:bCs/>
                <w:sz w:val="20"/>
                <w:szCs w:val="20"/>
              </w:rPr>
              <w:t>»</w:t>
            </w:r>
            <w:r w:rsidR="00E70477">
              <w:rPr>
                <w:rFonts w:ascii="Verdana" w:hAnsi="Verdana"/>
                <w:bCs/>
                <w:sz w:val="20"/>
                <w:szCs w:val="20"/>
              </w:rPr>
              <w:t xml:space="preserve"> del presente documento.</w:t>
            </w:r>
          </w:p>
          <w:p w14:paraId="34EFA9C1" w14:textId="2BC2B953" w:rsidR="00F40B0E" w:rsidRPr="00663431" w:rsidRDefault="00F40B0E" w:rsidP="00663431">
            <w:pPr>
              <w:autoSpaceDE w:val="0"/>
              <w:autoSpaceDN w:val="0"/>
              <w:adjustRightInd w:val="0"/>
              <w:jc w:val="both"/>
              <w:rPr>
                <w:rFonts w:ascii="Verdana" w:hAnsi="Verdana" w:cs="Verdana"/>
                <w:color w:val="FF0000"/>
                <w:sz w:val="20"/>
                <w:szCs w:val="20"/>
              </w:rPr>
            </w:pPr>
          </w:p>
        </w:tc>
      </w:tr>
      <w:tr w:rsidR="00663431" w:rsidRPr="00663431" w14:paraId="4C87E1A5" w14:textId="77777777" w:rsidTr="4923CE6A">
        <w:trPr>
          <w:trHeight w:val="1620"/>
        </w:trPr>
        <w:tc>
          <w:tcPr>
            <w:tcW w:w="1647" w:type="dxa"/>
            <w:vAlign w:val="center"/>
          </w:tcPr>
          <w:p w14:paraId="4F718D6D"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Monto</w:t>
            </w:r>
          </w:p>
          <w:p w14:paraId="44BA76BC" w14:textId="1424A2B7" w:rsidR="00663431" w:rsidRPr="00663431" w:rsidRDefault="00E7009B" w:rsidP="00663431">
            <w:pPr>
              <w:jc w:val="center"/>
              <w:rPr>
                <w:rFonts w:ascii="Verdana" w:hAnsi="Verdana"/>
                <w:sz w:val="20"/>
                <w:szCs w:val="20"/>
              </w:rPr>
            </w:pPr>
            <w:r>
              <w:rPr>
                <w:rFonts w:ascii="Verdana" w:hAnsi="Verdana" w:cs="Verdana"/>
                <w:sz w:val="20"/>
                <w:szCs w:val="20"/>
              </w:rPr>
              <w:t>d</w:t>
            </w:r>
            <w:r w:rsidR="00663431" w:rsidRPr="00663431">
              <w:rPr>
                <w:rFonts w:ascii="Verdana" w:hAnsi="Verdana" w:cs="Verdana"/>
                <w:sz w:val="20"/>
                <w:szCs w:val="20"/>
              </w:rPr>
              <w:t>esembolsado</w:t>
            </w:r>
          </w:p>
        </w:tc>
        <w:tc>
          <w:tcPr>
            <w:tcW w:w="3177" w:type="dxa"/>
            <w:vAlign w:val="center"/>
          </w:tcPr>
          <w:p w14:paraId="4069D8F9" w14:textId="329EDA9A" w:rsidR="00663431" w:rsidRPr="009F0A61" w:rsidRDefault="00663431" w:rsidP="00663431">
            <w:pPr>
              <w:jc w:val="center"/>
              <w:rPr>
                <w:rFonts w:ascii="Verdana" w:eastAsia="Times New Roman" w:hAnsi="Verdana" w:cs="Calibri"/>
                <w:sz w:val="20"/>
                <w:szCs w:val="20"/>
                <w:lang w:eastAsia="es-CO"/>
              </w:rPr>
            </w:pPr>
            <w:r w:rsidRPr="009F0A61">
              <w:rPr>
                <w:rFonts w:ascii="Verdana" w:hAnsi="Verdana" w:cs="Verdana"/>
                <w:sz w:val="20"/>
                <w:szCs w:val="20"/>
              </w:rPr>
              <w:t>valor_desembolsado</w:t>
            </w:r>
          </w:p>
        </w:tc>
        <w:tc>
          <w:tcPr>
            <w:tcW w:w="4243" w:type="dxa"/>
            <w:vAlign w:val="center"/>
          </w:tcPr>
          <w:p w14:paraId="74B91460" w14:textId="77777777" w:rsidR="00663431" w:rsidRDefault="00663431" w:rsidP="00663431">
            <w:pPr>
              <w:jc w:val="both"/>
              <w:rPr>
                <w:rFonts w:ascii="Verdana" w:hAnsi="Verdana" w:cs="Verdana"/>
                <w:sz w:val="20"/>
                <w:szCs w:val="20"/>
              </w:rPr>
            </w:pPr>
            <w:r w:rsidRPr="009F0A61">
              <w:rPr>
                <w:rFonts w:ascii="Verdana" w:hAnsi="Verdana" w:cs="Verdana"/>
                <w:sz w:val="20"/>
                <w:szCs w:val="20"/>
              </w:rPr>
              <w:t>Registre el monto</w:t>
            </w:r>
            <w:r w:rsidR="009530B5">
              <w:rPr>
                <w:rFonts w:ascii="Verdana" w:hAnsi="Verdana" w:cs="Verdana"/>
                <w:sz w:val="20"/>
                <w:szCs w:val="20"/>
              </w:rPr>
              <w:t xml:space="preserve"> </w:t>
            </w:r>
            <w:r w:rsidR="0030646B">
              <w:rPr>
                <w:rFonts w:ascii="Verdana" w:hAnsi="Verdana" w:cs="Verdana"/>
                <w:sz w:val="20"/>
                <w:szCs w:val="20"/>
              </w:rPr>
              <w:t xml:space="preserve">efectivamente </w:t>
            </w:r>
            <w:r w:rsidR="009530B5">
              <w:rPr>
                <w:rFonts w:ascii="Verdana" w:hAnsi="Verdana" w:cs="Verdana"/>
                <w:sz w:val="20"/>
                <w:szCs w:val="20"/>
              </w:rPr>
              <w:t>desem</w:t>
            </w:r>
            <w:r w:rsidR="0030646B">
              <w:rPr>
                <w:rFonts w:ascii="Verdana" w:hAnsi="Verdana" w:cs="Verdana"/>
                <w:sz w:val="20"/>
                <w:szCs w:val="20"/>
              </w:rPr>
              <w:t>bolsado</w:t>
            </w:r>
            <w:r w:rsidR="009F0A61" w:rsidRPr="009F0A61">
              <w:rPr>
                <w:rFonts w:ascii="Verdana" w:hAnsi="Verdana" w:cs="Verdana"/>
                <w:sz w:val="20"/>
                <w:szCs w:val="20"/>
              </w:rPr>
              <w:t>.</w:t>
            </w:r>
          </w:p>
          <w:p w14:paraId="3B226C7E" w14:textId="77777777" w:rsidR="00B84FC2" w:rsidRDefault="00B84FC2" w:rsidP="00663431">
            <w:pPr>
              <w:jc w:val="both"/>
              <w:rPr>
                <w:rFonts w:ascii="Verdana" w:hAnsi="Verdana" w:cs="Verdana"/>
                <w:sz w:val="20"/>
                <w:szCs w:val="20"/>
                <w:lang w:eastAsia="es-CO"/>
              </w:rPr>
            </w:pPr>
          </w:p>
          <w:p w14:paraId="2DBCBA61" w14:textId="77777777" w:rsidR="00B84FC2" w:rsidRDefault="00B84FC2" w:rsidP="00663431">
            <w:pPr>
              <w:jc w:val="both"/>
              <w:rPr>
                <w:rFonts w:ascii="Verdana" w:hAnsi="Verdana" w:cs="Verdana"/>
                <w:sz w:val="20"/>
                <w:szCs w:val="20"/>
                <w:lang w:eastAsia="es-CO"/>
              </w:rPr>
            </w:pPr>
            <w:r>
              <w:rPr>
                <w:rFonts w:ascii="Verdana" w:hAnsi="Verdana" w:cs="Verdana"/>
                <w:sz w:val="20"/>
                <w:szCs w:val="20"/>
                <w:lang w:eastAsia="es-CO"/>
              </w:rPr>
              <w:t xml:space="preserve">En el caso de tarjetas de crédito y productos rotativos, registre </w:t>
            </w:r>
            <w:r w:rsidR="007B3C1A">
              <w:rPr>
                <w:rFonts w:ascii="Verdana" w:hAnsi="Verdana" w:cs="Verdana"/>
                <w:sz w:val="20"/>
                <w:szCs w:val="20"/>
                <w:lang w:eastAsia="es-CO"/>
              </w:rPr>
              <w:t xml:space="preserve">el valor del cupo total </w:t>
            </w:r>
            <w:r w:rsidR="004E7CE2">
              <w:rPr>
                <w:rFonts w:ascii="Verdana" w:hAnsi="Verdana" w:cs="Verdana"/>
                <w:sz w:val="20"/>
                <w:szCs w:val="20"/>
                <w:lang w:eastAsia="es-CO"/>
              </w:rPr>
              <w:t>del respectivo producto.</w:t>
            </w:r>
          </w:p>
          <w:p w14:paraId="1D70F266" w14:textId="77777777" w:rsidR="00F40B0E" w:rsidRDefault="00F40B0E" w:rsidP="00663431">
            <w:pPr>
              <w:jc w:val="both"/>
              <w:rPr>
                <w:rFonts w:ascii="Verdana" w:hAnsi="Verdana" w:cs="Calibri"/>
                <w:sz w:val="20"/>
                <w:szCs w:val="20"/>
                <w:lang w:eastAsia="es-CO"/>
              </w:rPr>
            </w:pPr>
          </w:p>
          <w:p w14:paraId="10F03F7D" w14:textId="1F0C7EEA" w:rsidR="00E70477" w:rsidRDefault="00D07DFF" w:rsidP="00E70477">
            <w:pPr>
              <w:jc w:val="both"/>
              <w:outlineLvl w:val="0"/>
              <w:rPr>
                <w:rFonts w:ascii="Verdana" w:hAnsi="Verdana"/>
                <w:color w:val="000000"/>
                <w:sz w:val="20"/>
                <w:szCs w:val="20"/>
              </w:rPr>
            </w:pPr>
            <w:r>
              <w:rPr>
                <w:rFonts w:ascii="Verdana" w:hAnsi="Verdana"/>
                <w:color w:val="000000"/>
                <w:sz w:val="20"/>
                <w:szCs w:val="20"/>
              </w:rPr>
              <w:t>También es o</w:t>
            </w:r>
            <w:r w:rsidR="00E70477">
              <w:rPr>
                <w:rFonts w:ascii="Verdana" w:hAnsi="Verdana"/>
                <w:color w:val="000000"/>
                <w:sz w:val="20"/>
                <w:szCs w:val="20"/>
              </w:rPr>
              <w:t xml:space="preserve">bligatorio para el reporte de que tratan los numerales </w:t>
            </w:r>
            <w:r w:rsidR="006344B3">
              <w:rPr>
                <w:rFonts w:ascii="Verdana" w:hAnsi="Verdana"/>
                <w:color w:val="000000"/>
                <w:sz w:val="20"/>
                <w:szCs w:val="20"/>
              </w:rPr>
              <w:t xml:space="preserve">14 (ii), </w:t>
            </w:r>
            <w:r w:rsidR="00E70477">
              <w:rPr>
                <w:rFonts w:ascii="Verdana" w:hAnsi="Verdana"/>
                <w:color w:val="000000"/>
                <w:sz w:val="20"/>
                <w:szCs w:val="20"/>
              </w:rPr>
              <w:t>15, 16, 17</w:t>
            </w:r>
            <w:r w:rsidR="00EA48AD">
              <w:rPr>
                <w:rFonts w:ascii="Verdana" w:hAnsi="Verdana"/>
                <w:color w:val="000000"/>
                <w:sz w:val="20"/>
                <w:szCs w:val="20"/>
              </w:rPr>
              <w:t>,</w:t>
            </w:r>
            <w:r w:rsidR="006131F5">
              <w:rPr>
                <w:rFonts w:ascii="Verdana" w:hAnsi="Verdana"/>
                <w:color w:val="000000"/>
                <w:sz w:val="20"/>
                <w:szCs w:val="20"/>
              </w:rPr>
              <w:t xml:space="preserve"> </w:t>
            </w:r>
            <w:r w:rsidR="00E70477">
              <w:rPr>
                <w:rFonts w:ascii="Verdana" w:hAnsi="Verdana"/>
                <w:color w:val="000000"/>
                <w:sz w:val="20"/>
                <w:szCs w:val="20"/>
              </w:rPr>
              <w:t>18</w:t>
            </w:r>
            <w:r w:rsidR="00EA48AD">
              <w:rPr>
                <w:rFonts w:ascii="Verdana" w:hAnsi="Verdana"/>
                <w:color w:val="000000"/>
                <w:sz w:val="20"/>
                <w:szCs w:val="20"/>
              </w:rPr>
              <w:t xml:space="preserve"> y 31</w:t>
            </w:r>
            <w:r w:rsidR="00E70477">
              <w:rPr>
                <w:rFonts w:ascii="Verdana" w:hAnsi="Verdana"/>
                <w:color w:val="000000"/>
                <w:sz w:val="20"/>
                <w:szCs w:val="20"/>
              </w:rPr>
              <w:t xml:space="preserve"> de las </w:t>
            </w:r>
            <w:r w:rsidR="00E70477" w:rsidRPr="00422DCE">
              <w:rPr>
                <w:rFonts w:ascii="Verdana" w:hAnsi="Verdana"/>
                <w:bCs/>
                <w:sz w:val="20"/>
                <w:szCs w:val="20"/>
              </w:rPr>
              <w:t>«</w:t>
            </w:r>
            <w:r w:rsidR="00E70477" w:rsidRPr="00075DE0">
              <w:rPr>
                <w:rFonts w:ascii="Verdana" w:hAnsi="Verdana"/>
                <w:bCs/>
                <w:sz w:val="20"/>
                <w:szCs w:val="20"/>
              </w:rPr>
              <w:t>Re</w:t>
            </w:r>
            <w:r w:rsidR="00E70477">
              <w:rPr>
                <w:rFonts w:ascii="Verdana" w:hAnsi="Verdana"/>
                <w:bCs/>
                <w:sz w:val="20"/>
                <w:szCs w:val="20"/>
              </w:rPr>
              <w:t>glas generales de diligenciamiento</w:t>
            </w:r>
            <w:r w:rsidR="00E70477" w:rsidRPr="00BD40EF">
              <w:rPr>
                <w:rFonts w:ascii="Verdana" w:hAnsi="Verdana"/>
                <w:bCs/>
                <w:sz w:val="20"/>
                <w:szCs w:val="20"/>
              </w:rPr>
              <w:t>»</w:t>
            </w:r>
            <w:r w:rsidR="00E70477">
              <w:rPr>
                <w:rFonts w:ascii="Verdana" w:hAnsi="Verdana"/>
                <w:bCs/>
                <w:sz w:val="20"/>
                <w:szCs w:val="20"/>
              </w:rPr>
              <w:t xml:space="preserve"> del presente documento.</w:t>
            </w:r>
          </w:p>
          <w:p w14:paraId="37B597A8" w14:textId="5EDBB9B1" w:rsidR="00F40B0E" w:rsidRPr="009F0A61" w:rsidRDefault="00F40B0E" w:rsidP="00663431">
            <w:pPr>
              <w:jc w:val="both"/>
              <w:rPr>
                <w:rFonts w:ascii="Verdana" w:eastAsia="Times New Roman" w:hAnsi="Verdana" w:cs="Calibri"/>
                <w:sz w:val="20"/>
                <w:szCs w:val="20"/>
                <w:lang w:eastAsia="es-CO"/>
              </w:rPr>
            </w:pPr>
          </w:p>
        </w:tc>
      </w:tr>
      <w:tr w:rsidR="00663431" w:rsidRPr="00663431" w14:paraId="46A1E8A6" w14:textId="77777777" w:rsidTr="4923CE6A">
        <w:trPr>
          <w:trHeight w:val="1620"/>
        </w:trPr>
        <w:tc>
          <w:tcPr>
            <w:tcW w:w="1647" w:type="dxa"/>
            <w:vAlign w:val="center"/>
          </w:tcPr>
          <w:p w14:paraId="13350E41"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Frecuencia de</w:t>
            </w:r>
          </w:p>
          <w:p w14:paraId="13E85A13" w14:textId="1BCE4F24" w:rsidR="00663431" w:rsidRPr="00663431" w:rsidRDefault="00E7009B" w:rsidP="00663431">
            <w:pPr>
              <w:jc w:val="center"/>
              <w:rPr>
                <w:rFonts w:ascii="Verdana" w:hAnsi="Verdana"/>
                <w:sz w:val="20"/>
                <w:szCs w:val="20"/>
              </w:rPr>
            </w:pPr>
            <w:r>
              <w:rPr>
                <w:rFonts w:ascii="Verdana" w:hAnsi="Verdana" w:cs="Verdana"/>
                <w:sz w:val="20"/>
                <w:szCs w:val="20"/>
              </w:rPr>
              <w:t>p</w:t>
            </w:r>
            <w:r w:rsidR="00663431" w:rsidRPr="00663431">
              <w:rPr>
                <w:rFonts w:ascii="Verdana" w:hAnsi="Verdana" w:cs="Verdana"/>
                <w:sz w:val="20"/>
                <w:szCs w:val="20"/>
              </w:rPr>
              <w:t xml:space="preserve">ago </w:t>
            </w:r>
            <w:r>
              <w:rPr>
                <w:rFonts w:ascii="Verdana" w:hAnsi="Verdana" w:cs="Verdana"/>
                <w:sz w:val="20"/>
                <w:szCs w:val="20"/>
              </w:rPr>
              <w:t>c</w:t>
            </w:r>
            <w:r w:rsidR="00663431" w:rsidRPr="00663431">
              <w:rPr>
                <w:rFonts w:ascii="Verdana" w:hAnsi="Verdana" w:cs="Verdana"/>
                <w:sz w:val="20"/>
                <w:szCs w:val="20"/>
              </w:rPr>
              <w:t>apital</w:t>
            </w:r>
          </w:p>
        </w:tc>
        <w:tc>
          <w:tcPr>
            <w:tcW w:w="3177" w:type="dxa"/>
            <w:vAlign w:val="center"/>
          </w:tcPr>
          <w:p w14:paraId="53D44A4A" w14:textId="7A9C1C46"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frecuencia_pago_capital</w:t>
            </w:r>
          </w:p>
        </w:tc>
        <w:tc>
          <w:tcPr>
            <w:tcW w:w="4243" w:type="dxa"/>
            <w:vAlign w:val="center"/>
          </w:tcPr>
          <w:p w14:paraId="62A9E233" w14:textId="4DC04D3F" w:rsidR="00663431" w:rsidRPr="00DF7982" w:rsidRDefault="00663431" w:rsidP="00663431">
            <w:pPr>
              <w:jc w:val="both"/>
              <w:rPr>
                <w:rFonts w:ascii="Verdana" w:hAnsi="Verdana" w:cs="Verdana"/>
                <w:sz w:val="20"/>
                <w:szCs w:val="20"/>
              </w:rPr>
            </w:pPr>
            <w:r w:rsidRPr="00DF7982">
              <w:rPr>
                <w:rFonts w:ascii="Verdana" w:hAnsi="Verdana" w:cs="Verdana"/>
                <w:sz w:val="20"/>
                <w:szCs w:val="20"/>
              </w:rPr>
              <w:t>Registre el código de la periodicidad de pago a capital</w:t>
            </w:r>
            <w:r w:rsidR="00F86F2D" w:rsidRPr="00DF7982">
              <w:rPr>
                <w:rFonts w:ascii="Verdana" w:hAnsi="Verdana" w:cs="Verdana"/>
                <w:sz w:val="20"/>
                <w:szCs w:val="20"/>
              </w:rPr>
              <w:t>,</w:t>
            </w:r>
            <w:r w:rsidRPr="00DF7982">
              <w:rPr>
                <w:rFonts w:ascii="Verdana" w:hAnsi="Verdana" w:cs="Verdana"/>
                <w:sz w:val="20"/>
                <w:szCs w:val="20"/>
              </w:rPr>
              <w:t xml:space="preserve"> según la codificación publicada en la página web de la SFC en la sección:</w:t>
            </w:r>
          </w:p>
          <w:p w14:paraId="00CFF98B" w14:textId="77777777" w:rsidR="00663431" w:rsidRPr="00DF7982" w:rsidRDefault="00663431" w:rsidP="00663431">
            <w:pPr>
              <w:jc w:val="both"/>
              <w:rPr>
                <w:rFonts w:ascii="Verdana" w:hAnsi="Verdana" w:cs="Verdana"/>
                <w:sz w:val="20"/>
                <w:szCs w:val="20"/>
              </w:rPr>
            </w:pPr>
          </w:p>
          <w:p w14:paraId="00EE7F3C" w14:textId="77777777" w:rsidR="009E6846" w:rsidRDefault="00663431" w:rsidP="00663431">
            <w:pPr>
              <w:jc w:val="both"/>
              <w:rPr>
                <w:rFonts w:ascii="Verdana" w:hAnsi="Verdana" w:cs="Verdana"/>
                <w:i/>
                <w:iCs/>
                <w:sz w:val="20"/>
                <w:szCs w:val="20"/>
              </w:rPr>
            </w:pPr>
            <w:r w:rsidRPr="00DF7982">
              <w:rPr>
                <w:rFonts w:ascii="Verdana" w:hAnsi="Verdana" w:cs="Verdana"/>
                <w:i/>
                <w:iCs/>
                <w:sz w:val="20"/>
                <w:szCs w:val="20"/>
              </w:rPr>
              <w:t>Inicio</w:t>
            </w:r>
            <w:r w:rsidR="007A02D7">
              <w:rPr>
                <w:rFonts w:ascii="Verdana" w:hAnsi="Verdana" w:cs="Verdana"/>
                <w:i/>
                <w:iCs/>
                <w:sz w:val="20"/>
                <w:szCs w:val="20"/>
              </w:rPr>
              <w:t xml:space="preserve"> </w:t>
            </w:r>
            <w:r w:rsidRPr="00DF7982">
              <w:rPr>
                <w:rFonts w:ascii="Verdana" w:hAnsi="Verdana" w:cs="Verdana"/>
                <w:i/>
                <w:iCs/>
                <w:sz w:val="20"/>
                <w:szCs w:val="20"/>
              </w:rPr>
              <w:t>/</w:t>
            </w:r>
            <w:r w:rsidR="007A02D7">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DF7982">
              <w:rPr>
                <w:rFonts w:ascii="Verdana" w:hAnsi="Verdana" w:cs="Verdana"/>
                <w:i/>
                <w:iCs/>
                <w:sz w:val="20"/>
                <w:szCs w:val="20"/>
              </w:rPr>
              <w:t>/ Interés del Vigilado / Reportes / Índice de reportes de información a la Superintendencia Financiera / Tablas anexas para el reporte de información / Tabla periodicidad</w:t>
            </w:r>
          </w:p>
          <w:p w14:paraId="1232EC5A" w14:textId="44A827B8" w:rsidR="0062730A" w:rsidRPr="006131F5" w:rsidRDefault="0062730A" w:rsidP="000B4D6A">
            <w:pPr>
              <w:jc w:val="both"/>
              <w:outlineLvl w:val="0"/>
              <w:rPr>
                <w:rFonts w:ascii="Verdana" w:hAnsi="Verdana" w:cs="Verdana"/>
                <w:i/>
                <w:iCs/>
                <w:sz w:val="20"/>
                <w:szCs w:val="20"/>
              </w:rPr>
            </w:pPr>
          </w:p>
        </w:tc>
      </w:tr>
      <w:tr w:rsidR="00663431" w:rsidRPr="00663431" w14:paraId="74844846" w14:textId="77777777" w:rsidTr="4923CE6A">
        <w:trPr>
          <w:trHeight w:val="1620"/>
        </w:trPr>
        <w:tc>
          <w:tcPr>
            <w:tcW w:w="1647" w:type="dxa"/>
            <w:vAlign w:val="center"/>
          </w:tcPr>
          <w:p w14:paraId="51F59327"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lastRenderedPageBreak/>
              <w:t>Frecuencia de</w:t>
            </w:r>
          </w:p>
          <w:p w14:paraId="551B2465" w14:textId="366E79F1" w:rsidR="00663431" w:rsidRPr="00663431" w:rsidRDefault="00E7009B" w:rsidP="00663431">
            <w:pPr>
              <w:autoSpaceDE w:val="0"/>
              <w:autoSpaceDN w:val="0"/>
              <w:adjustRightInd w:val="0"/>
              <w:jc w:val="center"/>
              <w:rPr>
                <w:rFonts w:ascii="Verdana" w:hAnsi="Verdana" w:cs="Verdana"/>
                <w:sz w:val="20"/>
                <w:szCs w:val="20"/>
              </w:rPr>
            </w:pPr>
            <w:r>
              <w:rPr>
                <w:rFonts w:ascii="Verdana" w:hAnsi="Verdana" w:cs="Verdana"/>
                <w:sz w:val="20"/>
                <w:szCs w:val="20"/>
              </w:rPr>
              <w:t>p</w:t>
            </w:r>
            <w:r w:rsidR="00663431" w:rsidRPr="00663431">
              <w:rPr>
                <w:rFonts w:ascii="Verdana" w:hAnsi="Verdana" w:cs="Verdana"/>
                <w:sz w:val="20"/>
                <w:szCs w:val="20"/>
              </w:rPr>
              <w:t>ago</w:t>
            </w:r>
          </w:p>
          <w:p w14:paraId="4C670BBC" w14:textId="0D501FBF" w:rsidR="00663431" w:rsidRPr="00663431" w:rsidRDefault="00663431" w:rsidP="00663431">
            <w:pPr>
              <w:jc w:val="center"/>
              <w:rPr>
                <w:rFonts w:ascii="Verdana" w:hAnsi="Verdana"/>
                <w:sz w:val="20"/>
                <w:szCs w:val="20"/>
              </w:rPr>
            </w:pPr>
            <w:r w:rsidRPr="00663431">
              <w:rPr>
                <w:rFonts w:ascii="Verdana" w:hAnsi="Verdana" w:cs="Verdana"/>
                <w:sz w:val="20"/>
                <w:szCs w:val="20"/>
              </w:rPr>
              <w:t>intereses</w:t>
            </w:r>
          </w:p>
        </w:tc>
        <w:tc>
          <w:tcPr>
            <w:tcW w:w="3177" w:type="dxa"/>
            <w:vAlign w:val="center"/>
          </w:tcPr>
          <w:p w14:paraId="283A0690" w14:textId="55DE88D3" w:rsidR="00663431" w:rsidRPr="0060619A" w:rsidRDefault="00663431" w:rsidP="00663431">
            <w:pPr>
              <w:jc w:val="center"/>
              <w:rPr>
                <w:rFonts w:ascii="Verdana" w:eastAsia="Times New Roman" w:hAnsi="Verdana" w:cs="Calibri"/>
                <w:sz w:val="20"/>
                <w:szCs w:val="20"/>
                <w:lang w:eastAsia="es-CO"/>
              </w:rPr>
            </w:pPr>
            <w:r w:rsidRPr="0060619A">
              <w:rPr>
                <w:rFonts w:ascii="Verdana" w:hAnsi="Verdana" w:cs="Verdana"/>
                <w:sz w:val="20"/>
                <w:szCs w:val="20"/>
              </w:rPr>
              <w:t>frecuencia_pago_intereses</w:t>
            </w:r>
          </w:p>
        </w:tc>
        <w:tc>
          <w:tcPr>
            <w:tcW w:w="4243" w:type="dxa"/>
            <w:vAlign w:val="center"/>
          </w:tcPr>
          <w:p w14:paraId="07C2D10F" w14:textId="4EBF013A" w:rsidR="00663431" w:rsidRPr="0060619A" w:rsidRDefault="00663431" w:rsidP="00663431">
            <w:pPr>
              <w:jc w:val="both"/>
              <w:rPr>
                <w:rFonts w:ascii="Verdana" w:hAnsi="Verdana" w:cs="Verdana"/>
                <w:sz w:val="20"/>
                <w:szCs w:val="20"/>
              </w:rPr>
            </w:pPr>
            <w:r w:rsidRPr="0060619A">
              <w:rPr>
                <w:rFonts w:ascii="Verdana" w:hAnsi="Verdana" w:cs="Verdana"/>
                <w:sz w:val="20"/>
                <w:szCs w:val="20"/>
              </w:rPr>
              <w:t xml:space="preserve">Registre el código de la periodicidad de pago a intereses según la codificación publicada en la página web de la SFC en la sección: </w:t>
            </w:r>
          </w:p>
          <w:p w14:paraId="04516751" w14:textId="77777777" w:rsidR="00663431" w:rsidRPr="0060619A" w:rsidRDefault="00663431" w:rsidP="00663431">
            <w:pPr>
              <w:jc w:val="both"/>
              <w:rPr>
                <w:rFonts w:ascii="Verdana" w:hAnsi="Verdana" w:cs="Verdana"/>
                <w:sz w:val="20"/>
                <w:szCs w:val="20"/>
              </w:rPr>
            </w:pPr>
          </w:p>
          <w:p w14:paraId="551A7EEE" w14:textId="355C862D" w:rsidR="00856335" w:rsidRPr="0060619A" w:rsidRDefault="00663431" w:rsidP="005E7EF8">
            <w:pPr>
              <w:jc w:val="both"/>
              <w:outlineLvl w:val="0"/>
              <w:rPr>
                <w:rFonts w:ascii="Verdana" w:eastAsia="Times New Roman" w:hAnsi="Verdana" w:cs="Calibri"/>
                <w:i/>
                <w:iCs/>
                <w:sz w:val="20"/>
                <w:szCs w:val="20"/>
                <w:lang w:eastAsia="es-CO"/>
              </w:rPr>
            </w:pPr>
            <w:r w:rsidRPr="0060619A">
              <w:rPr>
                <w:rFonts w:ascii="Verdana" w:hAnsi="Verdana" w:cs="Verdana"/>
                <w:i/>
                <w:iCs/>
                <w:sz w:val="20"/>
                <w:szCs w:val="20"/>
              </w:rPr>
              <w:t>Inicio</w:t>
            </w:r>
            <w:r w:rsidR="007A02D7">
              <w:rPr>
                <w:rFonts w:ascii="Verdana" w:hAnsi="Verdana" w:cs="Verdana"/>
                <w:i/>
                <w:iCs/>
                <w:sz w:val="20"/>
                <w:szCs w:val="20"/>
              </w:rPr>
              <w:t xml:space="preserve"> </w:t>
            </w:r>
            <w:r w:rsidRPr="0060619A">
              <w:rPr>
                <w:rFonts w:ascii="Verdana" w:hAnsi="Verdana" w:cs="Verdana"/>
                <w:i/>
                <w:iCs/>
                <w:sz w:val="20"/>
                <w:szCs w:val="20"/>
              </w:rPr>
              <w:t>/</w:t>
            </w:r>
            <w:r w:rsidR="007A02D7">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60619A">
              <w:rPr>
                <w:rFonts w:ascii="Verdana" w:hAnsi="Verdana" w:cs="Verdana"/>
                <w:i/>
                <w:iCs/>
                <w:sz w:val="20"/>
                <w:szCs w:val="20"/>
              </w:rPr>
              <w:t>/ Interés del Vigilado / Reportes / Índice de reportes de información a la Superintendencia Financiera / Tablas anexas para el reporte de información / Tabla periodicidad</w:t>
            </w:r>
          </w:p>
        </w:tc>
      </w:tr>
      <w:tr w:rsidR="00664A1A" w:rsidRPr="00664A1A" w14:paraId="033D7899" w14:textId="77777777" w:rsidTr="4923CE6A">
        <w:trPr>
          <w:trHeight w:val="1620"/>
        </w:trPr>
        <w:tc>
          <w:tcPr>
            <w:tcW w:w="1647" w:type="dxa"/>
            <w:vAlign w:val="center"/>
          </w:tcPr>
          <w:p w14:paraId="5DA9A57D" w14:textId="7076ED85" w:rsidR="00663431" w:rsidRPr="00663431" w:rsidRDefault="00663431" w:rsidP="00663431">
            <w:pPr>
              <w:jc w:val="center"/>
              <w:rPr>
                <w:rFonts w:ascii="Verdana" w:hAnsi="Verdana"/>
                <w:sz w:val="20"/>
                <w:szCs w:val="20"/>
              </w:rPr>
            </w:pPr>
            <w:r w:rsidRPr="00663431">
              <w:rPr>
                <w:rFonts w:ascii="Verdana" w:hAnsi="Verdana" w:cs="Verdana"/>
                <w:sz w:val="20"/>
                <w:szCs w:val="20"/>
              </w:rPr>
              <w:t xml:space="preserve">Tipo de </w:t>
            </w:r>
            <w:r w:rsidR="00C87A50">
              <w:rPr>
                <w:rFonts w:ascii="Verdana" w:hAnsi="Verdana" w:cs="Verdana"/>
                <w:sz w:val="20"/>
                <w:szCs w:val="20"/>
              </w:rPr>
              <w:t>t</w:t>
            </w:r>
            <w:r w:rsidRPr="00663431">
              <w:rPr>
                <w:rFonts w:ascii="Verdana" w:hAnsi="Verdana" w:cs="Verdana"/>
                <w:sz w:val="20"/>
                <w:szCs w:val="20"/>
              </w:rPr>
              <w:t>asa</w:t>
            </w:r>
          </w:p>
        </w:tc>
        <w:tc>
          <w:tcPr>
            <w:tcW w:w="3177" w:type="dxa"/>
            <w:vAlign w:val="center"/>
          </w:tcPr>
          <w:p w14:paraId="503E8C18" w14:textId="4343676B"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tipo_tasa</w:t>
            </w:r>
          </w:p>
        </w:tc>
        <w:tc>
          <w:tcPr>
            <w:tcW w:w="4243" w:type="dxa"/>
            <w:vAlign w:val="center"/>
          </w:tcPr>
          <w:p w14:paraId="3575C5E9" w14:textId="4F8FD4E3" w:rsidR="00663431" w:rsidRPr="00664A1A" w:rsidRDefault="00663431" w:rsidP="00663431">
            <w:pPr>
              <w:jc w:val="both"/>
              <w:rPr>
                <w:rFonts w:ascii="Verdana" w:hAnsi="Verdana" w:cs="Verdana"/>
                <w:sz w:val="20"/>
                <w:szCs w:val="20"/>
              </w:rPr>
            </w:pPr>
            <w:r w:rsidRPr="00664A1A">
              <w:rPr>
                <w:rFonts w:ascii="Verdana" w:hAnsi="Verdana" w:cs="Verdana"/>
                <w:sz w:val="20"/>
                <w:szCs w:val="20"/>
              </w:rPr>
              <w:t xml:space="preserve">Registre el código de la tasa efectiva anual </w:t>
            </w:r>
            <w:r w:rsidR="00215200" w:rsidRPr="00664A1A">
              <w:rPr>
                <w:rFonts w:ascii="Verdana" w:hAnsi="Verdana" w:cs="Verdana"/>
                <w:sz w:val="20"/>
                <w:szCs w:val="20"/>
              </w:rPr>
              <w:t>de</w:t>
            </w:r>
            <w:r w:rsidRPr="00664A1A">
              <w:rPr>
                <w:rFonts w:ascii="Verdana" w:hAnsi="Verdana" w:cs="Verdana"/>
                <w:sz w:val="20"/>
                <w:szCs w:val="20"/>
              </w:rPr>
              <w:t xml:space="preserve"> los créditos desembolsados</w:t>
            </w:r>
            <w:r w:rsidR="006C4F8E" w:rsidRPr="00664A1A">
              <w:rPr>
                <w:rFonts w:ascii="Verdana" w:hAnsi="Verdana" w:cs="Verdana"/>
                <w:sz w:val="20"/>
                <w:szCs w:val="20"/>
              </w:rPr>
              <w:t>,</w:t>
            </w:r>
            <w:r w:rsidRPr="00664A1A">
              <w:rPr>
                <w:rFonts w:ascii="Verdana" w:hAnsi="Verdana" w:cs="Verdana"/>
                <w:sz w:val="20"/>
                <w:szCs w:val="20"/>
              </w:rPr>
              <w:t xml:space="preserve"> según la codificación publicada en la página web de la SFC en la sección: </w:t>
            </w:r>
          </w:p>
          <w:p w14:paraId="2E2FAF1F" w14:textId="77777777" w:rsidR="00663431" w:rsidRPr="00664A1A" w:rsidRDefault="00663431" w:rsidP="00663431">
            <w:pPr>
              <w:jc w:val="both"/>
              <w:rPr>
                <w:rFonts w:ascii="Verdana" w:hAnsi="Verdana" w:cs="Verdana"/>
                <w:sz w:val="20"/>
                <w:szCs w:val="20"/>
              </w:rPr>
            </w:pPr>
          </w:p>
          <w:p w14:paraId="123F7D3E" w14:textId="078A4A59" w:rsidR="00663431" w:rsidRPr="00664A1A" w:rsidRDefault="00663431" w:rsidP="00663431">
            <w:pPr>
              <w:jc w:val="both"/>
              <w:rPr>
                <w:rFonts w:ascii="Verdana" w:hAnsi="Verdana" w:cs="Verdana"/>
                <w:i/>
                <w:iCs/>
                <w:sz w:val="20"/>
                <w:szCs w:val="20"/>
              </w:rPr>
            </w:pPr>
            <w:r w:rsidRPr="00664A1A">
              <w:rPr>
                <w:rFonts w:ascii="Verdana" w:hAnsi="Verdana" w:cs="Verdana"/>
                <w:i/>
                <w:iCs/>
                <w:sz w:val="20"/>
                <w:szCs w:val="20"/>
              </w:rPr>
              <w:t>Inicio</w:t>
            </w:r>
            <w:r w:rsidR="00C509DF">
              <w:rPr>
                <w:rFonts w:ascii="Verdana" w:hAnsi="Verdana" w:cs="Verdana"/>
                <w:i/>
                <w:iCs/>
                <w:sz w:val="20"/>
                <w:szCs w:val="20"/>
              </w:rPr>
              <w:t xml:space="preserve"> </w:t>
            </w:r>
            <w:r w:rsidRPr="00664A1A">
              <w:rPr>
                <w:rFonts w:ascii="Verdana" w:hAnsi="Verdana" w:cs="Verdana"/>
                <w:i/>
                <w:iCs/>
                <w:sz w:val="20"/>
                <w:szCs w:val="20"/>
              </w:rPr>
              <w:t>/</w:t>
            </w:r>
            <w:r w:rsidR="00C509DF">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664A1A">
              <w:rPr>
                <w:rFonts w:ascii="Verdana" w:hAnsi="Verdana" w:cs="Verdana"/>
                <w:i/>
                <w:iCs/>
                <w:sz w:val="20"/>
                <w:szCs w:val="20"/>
              </w:rPr>
              <w:t>/ Interés del Vigilado / Reportes / Índice de reportes de información a la Superintendencia Financiera / Guía para el reporte de información sobre valoración del portafolio / Códigos tasas y curvas de referencia</w:t>
            </w:r>
          </w:p>
          <w:p w14:paraId="2A874C31" w14:textId="77777777" w:rsidR="00663431" w:rsidRPr="00664A1A" w:rsidRDefault="00663431" w:rsidP="00663431">
            <w:pPr>
              <w:jc w:val="both"/>
              <w:rPr>
                <w:rFonts w:ascii="Verdana" w:hAnsi="Verdana" w:cs="Verdana"/>
                <w:sz w:val="20"/>
                <w:szCs w:val="20"/>
              </w:rPr>
            </w:pPr>
          </w:p>
          <w:p w14:paraId="2249168B" w14:textId="77777777" w:rsidR="003849FF" w:rsidRDefault="00663431" w:rsidP="00372DC3">
            <w:pPr>
              <w:jc w:val="both"/>
              <w:rPr>
                <w:rFonts w:ascii="Verdana" w:hAnsi="Verdana"/>
                <w:bCs/>
                <w:sz w:val="20"/>
                <w:szCs w:val="20"/>
              </w:rPr>
            </w:pPr>
            <w:r w:rsidRPr="00664A1A">
              <w:rPr>
                <w:rFonts w:ascii="Verdana" w:hAnsi="Verdana" w:cs="Verdana"/>
                <w:sz w:val="20"/>
                <w:szCs w:val="20"/>
              </w:rPr>
              <w:t>Para los créditos en UVR con tasa fija se debe diligenciar el campo con el código de tasa fija de la tabla mencionada</w:t>
            </w:r>
            <w:r w:rsidR="0002555D">
              <w:rPr>
                <w:rFonts w:ascii="Verdana" w:hAnsi="Verdana" w:cs="Verdana"/>
                <w:sz w:val="20"/>
                <w:szCs w:val="20"/>
              </w:rPr>
              <w:t>, y</w:t>
            </w:r>
            <w:r w:rsidR="000F1B1F">
              <w:rPr>
                <w:rFonts w:ascii="Verdana" w:hAnsi="Verdana" w:cs="Verdana"/>
                <w:sz w:val="20"/>
                <w:szCs w:val="20"/>
              </w:rPr>
              <w:t xml:space="preserve"> </w:t>
            </w:r>
            <w:r w:rsidR="00894E72">
              <w:rPr>
                <w:rFonts w:ascii="Verdana" w:hAnsi="Verdana" w:cs="Verdana"/>
                <w:sz w:val="20"/>
                <w:szCs w:val="20"/>
              </w:rPr>
              <w:t xml:space="preserve">la variable </w:t>
            </w:r>
            <w:r w:rsidR="00894E72" w:rsidRPr="00422DCE">
              <w:rPr>
                <w:rFonts w:ascii="Verdana" w:hAnsi="Verdana"/>
                <w:bCs/>
                <w:sz w:val="20"/>
                <w:szCs w:val="20"/>
              </w:rPr>
              <w:t>«</w:t>
            </w:r>
            <w:r w:rsidR="00894E72">
              <w:rPr>
                <w:rFonts w:ascii="Verdana" w:hAnsi="Verdana"/>
                <w:bCs/>
                <w:sz w:val="20"/>
                <w:szCs w:val="20"/>
              </w:rPr>
              <w:t>Moneda</w:t>
            </w:r>
            <w:r w:rsidR="00894E72" w:rsidRPr="00BD40EF">
              <w:rPr>
                <w:rFonts w:ascii="Verdana" w:hAnsi="Verdana"/>
                <w:bCs/>
                <w:sz w:val="20"/>
                <w:szCs w:val="20"/>
              </w:rPr>
              <w:t>»</w:t>
            </w:r>
            <w:r w:rsidR="00894E72">
              <w:rPr>
                <w:rFonts w:ascii="Verdana" w:hAnsi="Verdana"/>
                <w:bCs/>
                <w:sz w:val="20"/>
                <w:szCs w:val="20"/>
              </w:rPr>
              <w:t xml:space="preserve"> </w:t>
            </w:r>
            <w:r w:rsidR="001E628D">
              <w:rPr>
                <w:rFonts w:ascii="Verdana" w:hAnsi="Verdana"/>
                <w:bCs/>
                <w:sz w:val="20"/>
                <w:szCs w:val="20"/>
              </w:rPr>
              <w:t xml:space="preserve">se debe reportar con el código </w:t>
            </w:r>
            <w:r w:rsidR="00894E72" w:rsidRPr="00422DCE">
              <w:rPr>
                <w:rFonts w:ascii="Verdana" w:hAnsi="Verdana"/>
                <w:bCs/>
                <w:sz w:val="20"/>
                <w:szCs w:val="20"/>
              </w:rPr>
              <w:t>«</w:t>
            </w:r>
            <w:r w:rsidR="00894E72">
              <w:rPr>
                <w:rFonts w:ascii="Verdana" w:hAnsi="Verdana"/>
                <w:bCs/>
                <w:sz w:val="20"/>
                <w:szCs w:val="20"/>
              </w:rPr>
              <w:t>UVR</w:t>
            </w:r>
            <w:r w:rsidR="00894E72" w:rsidRPr="00BD40EF">
              <w:rPr>
                <w:rFonts w:ascii="Verdana" w:hAnsi="Verdana"/>
                <w:bCs/>
                <w:sz w:val="20"/>
                <w:szCs w:val="20"/>
              </w:rPr>
              <w:t>»</w:t>
            </w:r>
            <w:r w:rsidR="00894E72">
              <w:rPr>
                <w:rFonts w:ascii="Verdana" w:hAnsi="Verdana"/>
                <w:bCs/>
                <w:sz w:val="20"/>
                <w:szCs w:val="20"/>
              </w:rPr>
              <w:t>.</w:t>
            </w:r>
          </w:p>
          <w:p w14:paraId="1A1E2B60" w14:textId="77777777" w:rsidR="00DB4703" w:rsidRDefault="00DB4703" w:rsidP="00372DC3">
            <w:pPr>
              <w:jc w:val="both"/>
              <w:rPr>
                <w:rFonts w:ascii="Verdana" w:hAnsi="Verdana"/>
                <w:bCs/>
                <w:sz w:val="20"/>
                <w:szCs w:val="20"/>
              </w:rPr>
            </w:pPr>
          </w:p>
          <w:p w14:paraId="08E0B6FB" w14:textId="2A1FEECC" w:rsidR="00FC01A0" w:rsidRDefault="00D07DFF" w:rsidP="00FC01A0">
            <w:pPr>
              <w:jc w:val="both"/>
              <w:outlineLvl w:val="0"/>
              <w:rPr>
                <w:rFonts w:ascii="Verdana" w:hAnsi="Verdana"/>
                <w:color w:val="000000"/>
                <w:sz w:val="20"/>
                <w:szCs w:val="20"/>
              </w:rPr>
            </w:pPr>
            <w:r>
              <w:rPr>
                <w:rFonts w:ascii="Verdana" w:hAnsi="Verdana"/>
                <w:color w:val="000000"/>
                <w:sz w:val="20"/>
                <w:szCs w:val="20"/>
              </w:rPr>
              <w:t>También es o</w:t>
            </w:r>
            <w:r w:rsidR="00FC01A0">
              <w:rPr>
                <w:rFonts w:ascii="Verdana" w:hAnsi="Verdana"/>
                <w:color w:val="000000"/>
                <w:sz w:val="20"/>
                <w:szCs w:val="20"/>
              </w:rPr>
              <w:t xml:space="preserve">bligatorio para el reporte de que tratan los numerales </w:t>
            </w:r>
            <w:r w:rsidR="00586C8D">
              <w:rPr>
                <w:rFonts w:ascii="Verdana" w:hAnsi="Verdana"/>
                <w:color w:val="000000"/>
                <w:sz w:val="20"/>
                <w:szCs w:val="20"/>
              </w:rPr>
              <w:t xml:space="preserve">14 (ii), </w:t>
            </w:r>
            <w:r w:rsidR="00FC01A0">
              <w:rPr>
                <w:rFonts w:ascii="Verdana" w:hAnsi="Verdana"/>
                <w:color w:val="000000"/>
                <w:sz w:val="20"/>
                <w:szCs w:val="20"/>
              </w:rPr>
              <w:t>15, 16, 17</w:t>
            </w:r>
            <w:r w:rsidR="0026580A">
              <w:rPr>
                <w:rFonts w:ascii="Verdana" w:hAnsi="Verdana"/>
                <w:color w:val="000000"/>
                <w:sz w:val="20"/>
                <w:szCs w:val="20"/>
              </w:rPr>
              <w:t>,</w:t>
            </w:r>
            <w:r w:rsidR="00FC01A0">
              <w:rPr>
                <w:rFonts w:ascii="Verdana" w:hAnsi="Verdana"/>
                <w:color w:val="000000"/>
                <w:sz w:val="20"/>
                <w:szCs w:val="20"/>
              </w:rPr>
              <w:t xml:space="preserve"> 18</w:t>
            </w:r>
            <w:r w:rsidR="0026580A">
              <w:rPr>
                <w:rFonts w:ascii="Verdana" w:hAnsi="Verdana"/>
                <w:color w:val="000000"/>
                <w:sz w:val="20"/>
                <w:szCs w:val="20"/>
              </w:rPr>
              <w:t xml:space="preserve"> y 31</w:t>
            </w:r>
            <w:r w:rsidR="00FC01A0">
              <w:rPr>
                <w:rFonts w:ascii="Verdana" w:hAnsi="Verdana"/>
                <w:color w:val="000000"/>
                <w:sz w:val="20"/>
                <w:szCs w:val="20"/>
              </w:rPr>
              <w:t xml:space="preserve"> de las </w:t>
            </w:r>
            <w:r w:rsidR="00FC01A0" w:rsidRPr="00422DCE">
              <w:rPr>
                <w:rFonts w:ascii="Verdana" w:hAnsi="Verdana"/>
                <w:bCs/>
                <w:sz w:val="20"/>
                <w:szCs w:val="20"/>
              </w:rPr>
              <w:t>«</w:t>
            </w:r>
            <w:r w:rsidR="00FC01A0" w:rsidRPr="00075DE0">
              <w:rPr>
                <w:rFonts w:ascii="Verdana" w:hAnsi="Verdana"/>
                <w:bCs/>
                <w:sz w:val="20"/>
                <w:szCs w:val="20"/>
              </w:rPr>
              <w:t>Re</w:t>
            </w:r>
            <w:r w:rsidR="00FC01A0">
              <w:rPr>
                <w:rFonts w:ascii="Verdana" w:hAnsi="Verdana"/>
                <w:bCs/>
                <w:sz w:val="20"/>
                <w:szCs w:val="20"/>
              </w:rPr>
              <w:t>glas generales de diligenciamiento</w:t>
            </w:r>
            <w:r w:rsidR="00FC01A0" w:rsidRPr="00BD40EF">
              <w:rPr>
                <w:rFonts w:ascii="Verdana" w:hAnsi="Verdana"/>
                <w:bCs/>
                <w:sz w:val="20"/>
                <w:szCs w:val="20"/>
              </w:rPr>
              <w:t>»</w:t>
            </w:r>
            <w:r w:rsidR="00FC01A0">
              <w:rPr>
                <w:rFonts w:ascii="Verdana" w:hAnsi="Verdana"/>
                <w:bCs/>
                <w:sz w:val="20"/>
                <w:szCs w:val="20"/>
              </w:rPr>
              <w:t xml:space="preserve"> del presente documento.</w:t>
            </w:r>
          </w:p>
          <w:p w14:paraId="0A914CD7" w14:textId="4B286211" w:rsidR="00DB4703" w:rsidRPr="00664A1A" w:rsidRDefault="00DB4703" w:rsidP="00372DC3">
            <w:pPr>
              <w:jc w:val="both"/>
              <w:rPr>
                <w:rFonts w:ascii="Verdana" w:eastAsia="Times New Roman" w:hAnsi="Verdana" w:cs="Calibri"/>
                <w:sz w:val="20"/>
                <w:szCs w:val="20"/>
                <w:lang w:eastAsia="es-CO"/>
              </w:rPr>
            </w:pPr>
          </w:p>
        </w:tc>
      </w:tr>
      <w:tr w:rsidR="00663431" w:rsidRPr="00663431" w14:paraId="120728D8" w14:textId="77777777" w:rsidTr="4923CE6A">
        <w:trPr>
          <w:trHeight w:val="1620"/>
        </w:trPr>
        <w:tc>
          <w:tcPr>
            <w:tcW w:w="1647" w:type="dxa"/>
            <w:vAlign w:val="center"/>
          </w:tcPr>
          <w:p w14:paraId="0BE34DA4" w14:textId="77777777" w:rsidR="00663431" w:rsidRPr="00663431" w:rsidRDefault="00663431" w:rsidP="00663431">
            <w:pPr>
              <w:autoSpaceDE w:val="0"/>
              <w:autoSpaceDN w:val="0"/>
              <w:adjustRightInd w:val="0"/>
              <w:jc w:val="center"/>
              <w:rPr>
                <w:rFonts w:ascii="Verdana" w:hAnsi="Verdana" w:cs="Verdana"/>
                <w:sz w:val="20"/>
                <w:szCs w:val="20"/>
              </w:rPr>
            </w:pPr>
            <w:r w:rsidRPr="00663431">
              <w:rPr>
                <w:rFonts w:ascii="Verdana" w:hAnsi="Verdana" w:cs="Verdana"/>
                <w:sz w:val="20"/>
                <w:szCs w:val="20"/>
              </w:rPr>
              <w:t>Tipo de</w:t>
            </w:r>
          </w:p>
          <w:p w14:paraId="68484AAA" w14:textId="2A2630EC" w:rsidR="00663431" w:rsidRPr="00663431" w:rsidRDefault="00663431" w:rsidP="00663431">
            <w:pPr>
              <w:jc w:val="center"/>
              <w:rPr>
                <w:rFonts w:ascii="Verdana" w:hAnsi="Verdana"/>
                <w:sz w:val="20"/>
                <w:szCs w:val="20"/>
              </w:rPr>
            </w:pPr>
            <w:r w:rsidRPr="00663431">
              <w:rPr>
                <w:rFonts w:ascii="Verdana" w:hAnsi="Verdana" w:cs="Verdana"/>
                <w:sz w:val="20"/>
                <w:szCs w:val="20"/>
              </w:rPr>
              <w:t>garantía</w:t>
            </w:r>
          </w:p>
        </w:tc>
        <w:tc>
          <w:tcPr>
            <w:tcW w:w="3177" w:type="dxa"/>
            <w:vAlign w:val="center"/>
          </w:tcPr>
          <w:p w14:paraId="386547BC" w14:textId="162F84E2"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tipo_garantia</w:t>
            </w:r>
          </w:p>
        </w:tc>
        <w:tc>
          <w:tcPr>
            <w:tcW w:w="4243" w:type="dxa"/>
            <w:vAlign w:val="center"/>
          </w:tcPr>
          <w:p w14:paraId="11AD9B08" w14:textId="6804B8D8" w:rsidR="00663431" w:rsidRPr="00C74DE1" w:rsidRDefault="00663431" w:rsidP="00663431">
            <w:pPr>
              <w:jc w:val="both"/>
              <w:rPr>
                <w:rFonts w:ascii="Verdana" w:hAnsi="Verdana" w:cs="Verdana"/>
                <w:sz w:val="20"/>
                <w:szCs w:val="20"/>
              </w:rPr>
            </w:pPr>
            <w:r w:rsidRPr="00C74DE1">
              <w:rPr>
                <w:rFonts w:ascii="Verdana" w:hAnsi="Verdana"/>
                <w:sz w:val="20"/>
                <w:szCs w:val="20"/>
                <w:shd w:val="clear" w:color="auto" w:fill="FFFFFF"/>
              </w:rPr>
              <w:t xml:space="preserve">Registre el código del tipo de </w:t>
            </w:r>
            <w:r w:rsidR="00C74DE1" w:rsidRPr="00C74DE1">
              <w:rPr>
                <w:rFonts w:ascii="Verdana" w:hAnsi="Verdana"/>
                <w:sz w:val="20"/>
                <w:szCs w:val="20"/>
                <w:shd w:val="clear" w:color="auto" w:fill="FFFFFF"/>
              </w:rPr>
              <w:t xml:space="preserve">la </w:t>
            </w:r>
            <w:r w:rsidRPr="00C74DE1">
              <w:rPr>
                <w:rFonts w:ascii="Verdana" w:hAnsi="Verdana"/>
                <w:sz w:val="20"/>
                <w:szCs w:val="20"/>
                <w:shd w:val="clear" w:color="auto" w:fill="FFFFFF"/>
              </w:rPr>
              <w:t xml:space="preserve">garantía  </w:t>
            </w:r>
            <w:r w:rsidR="00C74DE1" w:rsidRPr="00C74DE1">
              <w:rPr>
                <w:rFonts w:ascii="Verdana" w:hAnsi="Verdana"/>
                <w:sz w:val="20"/>
                <w:szCs w:val="20"/>
                <w:shd w:val="clear" w:color="auto" w:fill="FFFFFF"/>
              </w:rPr>
              <w:t xml:space="preserve">que respalda al </w:t>
            </w:r>
            <w:r w:rsidRPr="00C74DE1">
              <w:rPr>
                <w:rFonts w:ascii="Verdana" w:hAnsi="Verdana"/>
                <w:sz w:val="20"/>
                <w:szCs w:val="20"/>
                <w:shd w:val="clear" w:color="auto" w:fill="FFFFFF"/>
              </w:rPr>
              <w:t>crédito</w:t>
            </w:r>
            <w:r w:rsidR="00C74DE1" w:rsidRPr="00C74DE1">
              <w:rPr>
                <w:rFonts w:ascii="Verdana" w:hAnsi="Verdana"/>
                <w:sz w:val="20"/>
                <w:szCs w:val="20"/>
                <w:shd w:val="clear" w:color="auto" w:fill="FFFFFF"/>
              </w:rPr>
              <w:t>,</w:t>
            </w:r>
            <w:r w:rsidRPr="00C74DE1">
              <w:rPr>
                <w:rFonts w:ascii="Verdana" w:hAnsi="Verdana"/>
                <w:sz w:val="20"/>
                <w:szCs w:val="20"/>
                <w:shd w:val="clear" w:color="auto" w:fill="FFFFFF"/>
              </w:rPr>
              <w:t xml:space="preserve"> </w:t>
            </w:r>
            <w:r w:rsidRPr="00C74DE1">
              <w:rPr>
                <w:rFonts w:ascii="Verdana" w:hAnsi="Verdana" w:cs="Verdana"/>
                <w:sz w:val="20"/>
                <w:szCs w:val="20"/>
              </w:rPr>
              <w:t>según la codificación publicada en la página web de la SFC</w:t>
            </w:r>
            <w:r w:rsidR="00035168" w:rsidRPr="00C74DE1">
              <w:rPr>
                <w:rFonts w:ascii="Verdana" w:hAnsi="Verdana" w:cs="Verdana"/>
                <w:sz w:val="20"/>
                <w:szCs w:val="20"/>
              </w:rPr>
              <w:t>,</w:t>
            </w:r>
            <w:r w:rsidRPr="00C74DE1">
              <w:rPr>
                <w:rFonts w:ascii="Verdana" w:hAnsi="Verdana" w:cs="Verdana"/>
                <w:sz w:val="20"/>
                <w:szCs w:val="20"/>
              </w:rPr>
              <w:t xml:space="preserve"> en la sección: </w:t>
            </w:r>
          </w:p>
          <w:p w14:paraId="1A13F34F" w14:textId="4C2132E9" w:rsidR="00663431" w:rsidRPr="00663431" w:rsidRDefault="00663431" w:rsidP="00663431">
            <w:pPr>
              <w:jc w:val="both"/>
              <w:rPr>
                <w:rFonts w:ascii="Verdana" w:hAnsi="Verdana"/>
                <w:color w:val="FF0000"/>
                <w:sz w:val="20"/>
                <w:szCs w:val="20"/>
                <w:shd w:val="clear" w:color="auto" w:fill="FFFFFF"/>
              </w:rPr>
            </w:pPr>
          </w:p>
          <w:p w14:paraId="59F9BB40" w14:textId="26FAF45E" w:rsidR="00663431" w:rsidRDefault="00FB380D" w:rsidP="00663431">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w:t>
            </w:r>
            <w:r w:rsidRPr="00B30AFB">
              <w:rPr>
                <w:rFonts w:ascii="Verdana" w:hAnsi="Verdana" w:cs="Verdana"/>
                <w:i/>
                <w:iCs/>
                <w:sz w:val="20"/>
                <w:szCs w:val="20"/>
              </w:rPr>
              <w:lastRenderedPageBreak/>
              <w:t xml:space="preserve">Vigilado / Reportes / Índice de reportes de información a la Superintendencia Financiera / Tablas anexas para el reporte de información / Tablas MURIC – Información general de los deudores y créditos, hoja </w:t>
            </w:r>
            <w:r>
              <w:rPr>
                <w:rFonts w:ascii="Verdana" w:hAnsi="Verdana" w:cs="Verdana"/>
                <w:i/>
                <w:iCs/>
                <w:sz w:val="20"/>
                <w:szCs w:val="20"/>
              </w:rPr>
              <w:t>Tipo de garantía</w:t>
            </w:r>
            <w:r w:rsidR="00190C2C">
              <w:rPr>
                <w:rFonts w:ascii="Verdana" w:hAnsi="Verdana" w:cs="Verdana"/>
                <w:i/>
                <w:iCs/>
                <w:sz w:val="20"/>
                <w:szCs w:val="20"/>
              </w:rPr>
              <w:t xml:space="preserve"> MURIC</w:t>
            </w:r>
          </w:p>
          <w:p w14:paraId="5DD9F60D" w14:textId="77777777" w:rsidR="00DB4703" w:rsidRDefault="00DB4703" w:rsidP="00663431">
            <w:pPr>
              <w:jc w:val="both"/>
              <w:rPr>
                <w:rFonts w:ascii="Verdana" w:hAnsi="Verdana" w:cs="Verdana"/>
                <w:i/>
                <w:iCs/>
                <w:sz w:val="20"/>
                <w:szCs w:val="20"/>
              </w:rPr>
            </w:pPr>
          </w:p>
          <w:p w14:paraId="19DF91BC" w14:textId="2BCFB313" w:rsidR="00FC01A0" w:rsidRDefault="00D07DFF" w:rsidP="00FC01A0">
            <w:pPr>
              <w:jc w:val="both"/>
              <w:outlineLvl w:val="0"/>
              <w:rPr>
                <w:rFonts w:ascii="Verdana" w:hAnsi="Verdana"/>
                <w:color w:val="000000"/>
                <w:sz w:val="20"/>
                <w:szCs w:val="20"/>
              </w:rPr>
            </w:pPr>
            <w:r>
              <w:rPr>
                <w:rFonts w:ascii="Verdana" w:hAnsi="Verdana"/>
                <w:color w:val="000000"/>
                <w:sz w:val="20"/>
                <w:szCs w:val="20"/>
              </w:rPr>
              <w:t>También es o</w:t>
            </w:r>
            <w:r w:rsidR="00FC01A0">
              <w:rPr>
                <w:rFonts w:ascii="Verdana" w:hAnsi="Verdana"/>
                <w:color w:val="000000"/>
                <w:sz w:val="20"/>
                <w:szCs w:val="20"/>
              </w:rPr>
              <w:t xml:space="preserve">bligatorio para el reporte de que tratan los numerales </w:t>
            </w:r>
            <w:r w:rsidR="00586C8D">
              <w:rPr>
                <w:rFonts w:ascii="Verdana" w:hAnsi="Verdana"/>
                <w:color w:val="000000"/>
                <w:sz w:val="20"/>
                <w:szCs w:val="20"/>
              </w:rPr>
              <w:t xml:space="preserve">14 (ii), </w:t>
            </w:r>
            <w:r w:rsidR="00FC01A0">
              <w:rPr>
                <w:rFonts w:ascii="Verdana" w:hAnsi="Verdana"/>
                <w:color w:val="000000"/>
                <w:sz w:val="20"/>
                <w:szCs w:val="20"/>
              </w:rPr>
              <w:t>15, 16, 17</w:t>
            </w:r>
            <w:r w:rsidR="0026580A">
              <w:rPr>
                <w:rFonts w:ascii="Verdana" w:hAnsi="Verdana"/>
                <w:color w:val="000000"/>
                <w:sz w:val="20"/>
                <w:szCs w:val="20"/>
              </w:rPr>
              <w:t>,</w:t>
            </w:r>
            <w:r w:rsidR="008D1C97">
              <w:rPr>
                <w:rFonts w:ascii="Verdana" w:hAnsi="Verdana"/>
                <w:color w:val="000000"/>
                <w:sz w:val="20"/>
                <w:szCs w:val="20"/>
              </w:rPr>
              <w:t xml:space="preserve"> </w:t>
            </w:r>
            <w:r w:rsidR="00FC01A0">
              <w:rPr>
                <w:rFonts w:ascii="Verdana" w:hAnsi="Verdana"/>
                <w:color w:val="000000"/>
                <w:sz w:val="20"/>
                <w:szCs w:val="20"/>
              </w:rPr>
              <w:t>18</w:t>
            </w:r>
            <w:r w:rsidR="0026580A">
              <w:rPr>
                <w:rFonts w:ascii="Verdana" w:hAnsi="Verdana"/>
                <w:color w:val="000000"/>
                <w:sz w:val="20"/>
                <w:szCs w:val="20"/>
              </w:rPr>
              <w:t xml:space="preserve"> y 31</w:t>
            </w:r>
            <w:r w:rsidR="00FC01A0">
              <w:rPr>
                <w:rFonts w:ascii="Verdana" w:hAnsi="Verdana"/>
                <w:color w:val="000000"/>
                <w:sz w:val="20"/>
                <w:szCs w:val="20"/>
              </w:rPr>
              <w:t xml:space="preserve"> de las </w:t>
            </w:r>
            <w:r w:rsidR="00FC01A0" w:rsidRPr="00422DCE">
              <w:rPr>
                <w:rFonts w:ascii="Verdana" w:hAnsi="Verdana"/>
                <w:bCs/>
                <w:sz w:val="20"/>
                <w:szCs w:val="20"/>
              </w:rPr>
              <w:t>«</w:t>
            </w:r>
            <w:r w:rsidR="00FC01A0" w:rsidRPr="00075DE0">
              <w:rPr>
                <w:rFonts w:ascii="Verdana" w:hAnsi="Verdana"/>
                <w:bCs/>
                <w:sz w:val="20"/>
                <w:szCs w:val="20"/>
              </w:rPr>
              <w:t>Re</w:t>
            </w:r>
            <w:r w:rsidR="00FC01A0">
              <w:rPr>
                <w:rFonts w:ascii="Verdana" w:hAnsi="Verdana"/>
                <w:bCs/>
                <w:sz w:val="20"/>
                <w:szCs w:val="20"/>
              </w:rPr>
              <w:t>glas generales de diligenciamiento</w:t>
            </w:r>
            <w:r w:rsidR="00FC01A0" w:rsidRPr="00BD40EF">
              <w:rPr>
                <w:rFonts w:ascii="Verdana" w:hAnsi="Verdana"/>
                <w:bCs/>
                <w:sz w:val="20"/>
                <w:szCs w:val="20"/>
              </w:rPr>
              <w:t>»</w:t>
            </w:r>
            <w:r w:rsidR="00FC01A0">
              <w:rPr>
                <w:rFonts w:ascii="Verdana" w:hAnsi="Verdana"/>
                <w:bCs/>
                <w:sz w:val="20"/>
                <w:szCs w:val="20"/>
              </w:rPr>
              <w:t xml:space="preserve"> del presente documento.</w:t>
            </w:r>
          </w:p>
          <w:p w14:paraId="207DB7F6" w14:textId="7A987268" w:rsidR="00DB4703" w:rsidRPr="00663431" w:rsidRDefault="00DB4703" w:rsidP="00663431">
            <w:pPr>
              <w:jc w:val="both"/>
              <w:rPr>
                <w:rFonts w:ascii="Verdana" w:eastAsia="Times New Roman" w:hAnsi="Verdana" w:cs="Calibri"/>
                <w:i/>
                <w:iCs/>
                <w:color w:val="FF0000"/>
                <w:sz w:val="20"/>
                <w:szCs w:val="20"/>
                <w:lang w:eastAsia="es-CO"/>
              </w:rPr>
            </w:pPr>
          </w:p>
        </w:tc>
      </w:tr>
      <w:tr w:rsidR="00663431" w:rsidRPr="00663431" w14:paraId="59FE75EB" w14:textId="77777777" w:rsidTr="4923CE6A">
        <w:trPr>
          <w:trHeight w:val="1620"/>
        </w:trPr>
        <w:tc>
          <w:tcPr>
            <w:tcW w:w="1647" w:type="dxa"/>
            <w:vAlign w:val="center"/>
          </w:tcPr>
          <w:p w14:paraId="37B69D18" w14:textId="38099FF4" w:rsidR="00663431" w:rsidRPr="00663431" w:rsidRDefault="00663431" w:rsidP="00663431">
            <w:pPr>
              <w:jc w:val="center"/>
              <w:rPr>
                <w:rFonts w:ascii="Verdana" w:hAnsi="Verdana"/>
                <w:sz w:val="20"/>
                <w:szCs w:val="20"/>
              </w:rPr>
            </w:pPr>
            <w:r w:rsidRPr="00663431">
              <w:rPr>
                <w:rFonts w:ascii="Verdana" w:hAnsi="Verdana" w:cs="Verdana"/>
                <w:sz w:val="20"/>
                <w:szCs w:val="20"/>
              </w:rPr>
              <w:lastRenderedPageBreak/>
              <w:t>Moneda</w:t>
            </w:r>
          </w:p>
        </w:tc>
        <w:tc>
          <w:tcPr>
            <w:tcW w:w="3177" w:type="dxa"/>
            <w:vAlign w:val="center"/>
          </w:tcPr>
          <w:p w14:paraId="644A22EA" w14:textId="77777777" w:rsidR="00663431" w:rsidRPr="00663431" w:rsidRDefault="00663431" w:rsidP="00663431">
            <w:pPr>
              <w:autoSpaceDE w:val="0"/>
              <w:autoSpaceDN w:val="0"/>
              <w:adjustRightInd w:val="0"/>
              <w:jc w:val="both"/>
              <w:rPr>
                <w:rFonts w:ascii="Verdana" w:hAnsi="Verdana" w:cs="Verdana"/>
                <w:sz w:val="20"/>
                <w:szCs w:val="20"/>
              </w:rPr>
            </w:pPr>
          </w:p>
          <w:p w14:paraId="73B56527" w14:textId="0B2A4B98" w:rsidR="00663431" w:rsidRPr="00663431" w:rsidRDefault="00663431" w:rsidP="00663431">
            <w:pPr>
              <w:jc w:val="center"/>
              <w:rPr>
                <w:rFonts w:ascii="Verdana" w:eastAsia="Times New Roman" w:hAnsi="Verdana" w:cs="Calibri"/>
                <w:color w:val="000000"/>
                <w:sz w:val="20"/>
                <w:szCs w:val="20"/>
                <w:lang w:eastAsia="es-CO"/>
              </w:rPr>
            </w:pPr>
            <w:r w:rsidRPr="00663431">
              <w:rPr>
                <w:rFonts w:ascii="Verdana" w:hAnsi="Verdana" w:cs="Verdana"/>
                <w:sz w:val="20"/>
                <w:szCs w:val="20"/>
              </w:rPr>
              <w:t>moneda</w:t>
            </w:r>
          </w:p>
        </w:tc>
        <w:tc>
          <w:tcPr>
            <w:tcW w:w="4243" w:type="dxa"/>
            <w:vAlign w:val="center"/>
          </w:tcPr>
          <w:p w14:paraId="34654025" w14:textId="1077EEA5" w:rsidR="00925821" w:rsidRDefault="00663431" w:rsidP="00925821">
            <w:pPr>
              <w:shd w:val="clear" w:color="auto" w:fill="FFFFFF"/>
              <w:jc w:val="both"/>
              <w:rPr>
                <w:rFonts w:ascii="Verdana" w:eastAsia="Times New Roman" w:hAnsi="Verdana"/>
                <w:sz w:val="20"/>
                <w:szCs w:val="20"/>
                <w:lang w:eastAsia="es-CO"/>
              </w:rPr>
            </w:pPr>
            <w:r w:rsidRPr="007575DA">
              <w:rPr>
                <w:rFonts w:ascii="Verdana" w:eastAsia="Times New Roman" w:hAnsi="Verdana"/>
                <w:sz w:val="20"/>
                <w:szCs w:val="20"/>
                <w:lang w:eastAsia="es-CO"/>
              </w:rPr>
              <w:t xml:space="preserve">Registre el código alfabético </w:t>
            </w:r>
            <w:r w:rsidR="00190C2C">
              <w:rPr>
                <w:rFonts w:ascii="Verdana" w:eastAsia="Times New Roman" w:hAnsi="Verdana"/>
                <w:sz w:val="20"/>
                <w:szCs w:val="20"/>
                <w:lang w:eastAsia="es-CO"/>
              </w:rPr>
              <w:t>de la moneda</w:t>
            </w:r>
            <w:r w:rsidR="00D63DDE">
              <w:rPr>
                <w:rFonts w:ascii="Verdana" w:eastAsia="Times New Roman" w:hAnsi="Verdana"/>
                <w:sz w:val="20"/>
                <w:szCs w:val="20"/>
                <w:lang w:eastAsia="es-CO"/>
              </w:rPr>
              <w:t>,</w:t>
            </w:r>
            <w:r w:rsidR="00190C2C">
              <w:rPr>
                <w:rFonts w:ascii="Verdana" w:eastAsia="Times New Roman" w:hAnsi="Verdana"/>
                <w:sz w:val="20"/>
                <w:szCs w:val="20"/>
                <w:lang w:eastAsia="es-CO"/>
              </w:rPr>
              <w:t xml:space="preserve"> de acuerdo con la codificación internacional de la ISO </w:t>
            </w:r>
            <w:r w:rsidR="00FA1637">
              <w:rPr>
                <w:rFonts w:ascii="Verdana" w:eastAsia="Times New Roman" w:hAnsi="Verdana"/>
                <w:sz w:val="20"/>
                <w:szCs w:val="20"/>
                <w:lang w:eastAsia="es-CO"/>
              </w:rPr>
              <w:t>42</w:t>
            </w:r>
            <w:r w:rsidR="009C2364">
              <w:rPr>
                <w:rFonts w:ascii="Verdana" w:eastAsia="Times New Roman" w:hAnsi="Verdana"/>
                <w:sz w:val="20"/>
                <w:szCs w:val="20"/>
                <w:lang w:eastAsia="es-CO"/>
              </w:rPr>
              <w:t>17</w:t>
            </w:r>
            <w:r w:rsidR="0094684A">
              <w:rPr>
                <w:rFonts w:ascii="Verdana" w:eastAsia="Times New Roman" w:hAnsi="Verdana"/>
                <w:sz w:val="20"/>
                <w:szCs w:val="20"/>
                <w:lang w:eastAsia="es-CO"/>
              </w:rPr>
              <w:t xml:space="preserve"> o la que</w:t>
            </w:r>
            <w:r w:rsidR="00F2015A">
              <w:rPr>
                <w:rFonts w:ascii="Verdana" w:eastAsia="Times New Roman" w:hAnsi="Verdana"/>
                <w:sz w:val="20"/>
                <w:szCs w:val="20"/>
                <w:lang w:eastAsia="es-CO"/>
              </w:rPr>
              <w:t xml:space="preserve"> la sustituya</w:t>
            </w:r>
            <w:r w:rsidR="00FB0FDA">
              <w:rPr>
                <w:rFonts w:ascii="Verdana" w:eastAsia="Times New Roman" w:hAnsi="Verdana"/>
                <w:sz w:val="20"/>
                <w:szCs w:val="20"/>
                <w:lang w:eastAsia="es-CO"/>
              </w:rPr>
              <w:t xml:space="preserve">. </w:t>
            </w:r>
          </w:p>
          <w:p w14:paraId="1D322259" w14:textId="77777777" w:rsidR="00925821" w:rsidRDefault="00925821" w:rsidP="006D619B">
            <w:pPr>
              <w:jc w:val="both"/>
              <w:rPr>
                <w:rFonts w:ascii="Verdana" w:hAnsi="Verdana" w:cs="Verdana"/>
                <w:i/>
                <w:iCs/>
                <w:sz w:val="20"/>
                <w:szCs w:val="20"/>
              </w:rPr>
            </w:pPr>
          </w:p>
          <w:p w14:paraId="1C91B511" w14:textId="657CDD2F" w:rsidR="00FC01A0" w:rsidRDefault="00D07DFF" w:rsidP="00FC01A0">
            <w:pPr>
              <w:jc w:val="both"/>
              <w:outlineLvl w:val="0"/>
              <w:rPr>
                <w:rFonts w:ascii="Verdana" w:hAnsi="Verdana"/>
                <w:color w:val="000000"/>
                <w:sz w:val="20"/>
                <w:szCs w:val="20"/>
              </w:rPr>
            </w:pPr>
            <w:r>
              <w:rPr>
                <w:rFonts w:ascii="Verdana" w:hAnsi="Verdana"/>
                <w:color w:val="000000"/>
                <w:sz w:val="20"/>
                <w:szCs w:val="20"/>
              </w:rPr>
              <w:t>También es o</w:t>
            </w:r>
            <w:r w:rsidR="00FC01A0">
              <w:rPr>
                <w:rFonts w:ascii="Verdana" w:hAnsi="Verdana"/>
                <w:color w:val="000000"/>
                <w:sz w:val="20"/>
                <w:szCs w:val="20"/>
              </w:rPr>
              <w:t xml:space="preserve">bligatorio para el reporte de que tratan los numerales </w:t>
            </w:r>
            <w:r w:rsidR="00590D9D">
              <w:rPr>
                <w:rFonts w:ascii="Verdana" w:hAnsi="Verdana"/>
                <w:color w:val="000000"/>
                <w:sz w:val="20"/>
                <w:szCs w:val="20"/>
              </w:rPr>
              <w:t xml:space="preserve">14 (ii), </w:t>
            </w:r>
            <w:r w:rsidR="00FC01A0">
              <w:rPr>
                <w:rFonts w:ascii="Verdana" w:hAnsi="Verdana"/>
                <w:color w:val="000000"/>
                <w:sz w:val="20"/>
                <w:szCs w:val="20"/>
              </w:rPr>
              <w:t>15, 16, 17</w:t>
            </w:r>
            <w:r w:rsidR="0026580A">
              <w:rPr>
                <w:rFonts w:ascii="Verdana" w:hAnsi="Verdana"/>
                <w:color w:val="000000"/>
                <w:sz w:val="20"/>
                <w:szCs w:val="20"/>
              </w:rPr>
              <w:t>,</w:t>
            </w:r>
            <w:r w:rsidR="008D1C97">
              <w:rPr>
                <w:rFonts w:ascii="Verdana" w:hAnsi="Verdana"/>
                <w:color w:val="000000"/>
                <w:sz w:val="20"/>
                <w:szCs w:val="20"/>
              </w:rPr>
              <w:t xml:space="preserve"> </w:t>
            </w:r>
            <w:r w:rsidR="00FC01A0">
              <w:rPr>
                <w:rFonts w:ascii="Verdana" w:hAnsi="Verdana"/>
                <w:color w:val="000000"/>
                <w:sz w:val="20"/>
                <w:szCs w:val="20"/>
              </w:rPr>
              <w:t>18</w:t>
            </w:r>
            <w:r w:rsidR="0026580A">
              <w:rPr>
                <w:rFonts w:ascii="Verdana" w:hAnsi="Verdana"/>
                <w:color w:val="000000"/>
                <w:sz w:val="20"/>
                <w:szCs w:val="20"/>
              </w:rPr>
              <w:t xml:space="preserve"> y 31</w:t>
            </w:r>
            <w:r w:rsidR="00FC01A0">
              <w:rPr>
                <w:rFonts w:ascii="Verdana" w:hAnsi="Verdana"/>
                <w:color w:val="000000"/>
                <w:sz w:val="20"/>
                <w:szCs w:val="20"/>
              </w:rPr>
              <w:t xml:space="preserve"> de las </w:t>
            </w:r>
            <w:r w:rsidR="00FC01A0" w:rsidRPr="00422DCE">
              <w:rPr>
                <w:rFonts w:ascii="Verdana" w:hAnsi="Verdana"/>
                <w:bCs/>
                <w:sz w:val="20"/>
                <w:szCs w:val="20"/>
              </w:rPr>
              <w:t>«</w:t>
            </w:r>
            <w:r w:rsidR="00FC01A0" w:rsidRPr="00075DE0">
              <w:rPr>
                <w:rFonts w:ascii="Verdana" w:hAnsi="Verdana"/>
                <w:bCs/>
                <w:sz w:val="20"/>
                <w:szCs w:val="20"/>
              </w:rPr>
              <w:t>Re</w:t>
            </w:r>
            <w:r w:rsidR="00FC01A0">
              <w:rPr>
                <w:rFonts w:ascii="Verdana" w:hAnsi="Verdana"/>
                <w:bCs/>
                <w:sz w:val="20"/>
                <w:szCs w:val="20"/>
              </w:rPr>
              <w:t>glas generales de diligenciamiento</w:t>
            </w:r>
            <w:r w:rsidR="00FC01A0" w:rsidRPr="00BD40EF">
              <w:rPr>
                <w:rFonts w:ascii="Verdana" w:hAnsi="Verdana"/>
                <w:bCs/>
                <w:sz w:val="20"/>
                <w:szCs w:val="20"/>
              </w:rPr>
              <w:t>»</w:t>
            </w:r>
            <w:r w:rsidR="00FC01A0">
              <w:rPr>
                <w:rFonts w:ascii="Verdana" w:hAnsi="Verdana"/>
                <w:bCs/>
                <w:sz w:val="20"/>
                <w:szCs w:val="20"/>
              </w:rPr>
              <w:t xml:space="preserve"> del presente documento.</w:t>
            </w:r>
          </w:p>
          <w:p w14:paraId="10F6754B" w14:textId="3842903F" w:rsidR="00894E72" w:rsidRPr="00D44471" w:rsidRDefault="00894E72" w:rsidP="00DB4703">
            <w:pPr>
              <w:jc w:val="both"/>
              <w:rPr>
                <w:rFonts w:ascii="Verdana" w:eastAsia="Times New Roman" w:hAnsi="Verdana" w:cs="Calibri"/>
                <w:sz w:val="20"/>
                <w:szCs w:val="20"/>
                <w:lang w:eastAsia="es-CO"/>
              </w:rPr>
            </w:pPr>
          </w:p>
        </w:tc>
      </w:tr>
      <w:tr w:rsidR="00663431" w:rsidRPr="00663431" w14:paraId="579FB265" w14:textId="77777777" w:rsidTr="4923CE6A">
        <w:trPr>
          <w:trHeight w:val="1620"/>
        </w:trPr>
        <w:tc>
          <w:tcPr>
            <w:tcW w:w="1647" w:type="dxa"/>
            <w:vAlign w:val="center"/>
          </w:tcPr>
          <w:p w14:paraId="11FE90A4" w14:textId="756A29AA" w:rsidR="00663431" w:rsidRPr="00663431" w:rsidRDefault="000A2ABC" w:rsidP="00663431">
            <w:pPr>
              <w:jc w:val="center"/>
              <w:rPr>
                <w:rFonts w:ascii="Verdana" w:hAnsi="Verdana"/>
                <w:sz w:val="20"/>
                <w:szCs w:val="20"/>
              </w:rPr>
            </w:pPr>
            <w:r>
              <w:rPr>
                <w:rFonts w:ascii="Verdana" w:hAnsi="Verdana" w:cs="Verdana"/>
                <w:sz w:val="20"/>
                <w:szCs w:val="20"/>
              </w:rPr>
              <w:t>Marco legal</w:t>
            </w:r>
          </w:p>
        </w:tc>
        <w:tc>
          <w:tcPr>
            <w:tcW w:w="3177" w:type="dxa"/>
            <w:vAlign w:val="center"/>
          </w:tcPr>
          <w:p w14:paraId="6DFF9601" w14:textId="552B5BD7" w:rsidR="00663431" w:rsidRPr="00663431" w:rsidRDefault="000A2ABC" w:rsidP="00663431">
            <w:pPr>
              <w:jc w:val="center"/>
              <w:rPr>
                <w:rFonts w:ascii="Verdana" w:eastAsia="Times New Roman" w:hAnsi="Verdana" w:cs="Calibri"/>
                <w:color w:val="000000"/>
                <w:sz w:val="20"/>
                <w:szCs w:val="20"/>
                <w:lang w:eastAsia="es-CO"/>
              </w:rPr>
            </w:pPr>
            <w:r>
              <w:rPr>
                <w:rFonts w:ascii="Verdana" w:hAnsi="Verdana" w:cs="Verdana"/>
                <w:sz w:val="20"/>
                <w:szCs w:val="20"/>
              </w:rPr>
              <w:t>marco</w:t>
            </w:r>
            <w:r w:rsidR="00663431" w:rsidRPr="00663431">
              <w:rPr>
                <w:rFonts w:ascii="Verdana" w:hAnsi="Verdana" w:cs="Verdana"/>
                <w:sz w:val="20"/>
                <w:szCs w:val="20"/>
              </w:rPr>
              <w:t>_</w:t>
            </w:r>
            <w:r>
              <w:rPr>
                <w:rFonts w:ascii="Verdana" w:hAnsi="Verdana" w:cs="Verdana"/>
                <w:sz w:val="20"/>
                <w:szCs w:val="20"/>
              </w:rPr>
              <w:t>legal</w:t>
            </w:r>
          </w:p>
        </w:tc>
        <w:tc>
          <w:tcPr>
            <w:tcW w:w="4243" w:type="dxa"/>
            <w:vAlign w:val="center"/>
          </w:tcPr>
          <w:p w14:paraId="209E65E1" w14:textId="154FB2E8" w:rsidR="0054244C" w:rsidRDefault="00663431" w:rsidP="0054244C">
            <w:pPr>
              <w:autoSpaceDE w:val="0"/>
              <w:autoSpaceDN w:val="0"/>
              <w:adjustRightInd w:val="0"/>
              <w:jc w:val="both"/>
              <w:rPr>
                <w:rFonts w:ascii="Verdana" w:hAnsi="Verdana" w:cs="Verdana"/>
                <w:sz w:val="20"/>
                <w:szCs w:val="20"/>
              </w:rPr>
            </w:pPr>
            <w:r w:rsidRPr="00595AAC">
              <w:rPr>
                <w:rFonts w:ascii="Verdana" w:hAnsi="Verdana" w:cs="Verdana"/>
                <w:sz w:val="20"/>
                <w:szCs w:val="20"/>
              </w:rPr>
              <w:t xml:space="preserve">Registre el </w:t>
            </w:r>
            <w:r w:rsidR="00200F80">
              <w:rPr>
                <w:rFonts w:ascii="Verdana" w:hAnsi="Verdana" w:cs="Verdana"/>
                <w:sz w:val="20"/>
                <w:szCs w:val="20"/>
              </w:rPr>
              <w:t>marco legal aplicable</w:t>
            </w:r>
            <w:r w:rsidR="0054244C">
              <w:rPr>
                <w:rFonts w:ascii="Verdana" w:hAnsi="Verdana" w:cs="Verdana"/>
                <w:sz w:val="20"/>
                <w:szCs w:val="20"/>
              </w:rPr>
              <w:t xml:space="preserve"> al tipo de restructuración de la operación, teniendo en cuenta la normatividad aplicable a la restructuración respectiva. </w:t>
            </w:r>
          </w:p>
          <w:p w14:paraId="4063DDBF" w14:textId="77777777" w:rsidR="0054244C" w:rsidRDefault="0054244C" w:rsidP="0054244C">
            <w:pPr>
              <w:autoSpaceDE w:val="0"/>
              <w:autoSpaceDN w:val="0"/>
              <w:adjustRightInd w:val="0"/>
              <w:jc w:val="both"/>
              <w:rPr>
                <w:rFonts w:ascii="Verdana" w:hAnsi="Verdana" w:cs="Calibri"/>
                <w:color w:val="FF0000"/>
                <w:sz w:val="20"/>
                <w:szCs w:val="20"/>
              </w:rPr>
            </w:pPr>
          </w:p>
          <w:p w14:paraId="7E78BB63" w14:textId="46361493" w:rsidR="0054244C" w:rsidRDefault="0054244C" w:rsidP="0054244C">
            <w:pPr>
              <w:autoSpaceDE w:val="0"/>
              <w:autoSpaceDN w:val="0"/>
              <w:adjustRightInd w:val="0"/>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Para estos efectos, se deben utilizar los códigos asignados a cada estado de</w:t>
            </w:r>
            <w:r w:rsidR="004677C7">
              <w:rPr>
                <w:rFonts w:ascii="Verdana" w:eastAsia="Times New Roman" w:hAnsi="Verdana" w:cs="Calibri"/>
                <w:color w:val="000000"/>
                <w:sz w:val="20"/>
                <w:szCs w:val="20"/>
                <w:lang w:eastAsia="es-CO"/>
              </w:rPr>
              <w:t>l</w:t>
            </w:r>
            <w:r>
              <w:rPr>
                <w:rFonts w:ascii="Verdana" w:eastAsia="Times New Roman" w:hAnsi="Verdana" w:cs="Calibri"/>
                <w:color w:val="000000"/>
                <w:sz w:val="20"/>
                <w:szCs w:val="20"/>
                <w:lang w:eastAsia="es-CO"/>
              </w:rPr>
              <w:t xml:space="preserve"> registro </w:t>
            </w:r>
            <w:r w:rsidRPr="00663431">
              <w:rPr>
                <w:rFonts w:ascii="Verdana" w:eastAsia="Times New Roman" w:hAnsi="Verdana" w:cs="Calibri"/>
                <w:color w:val="000000"/>
                <w:sz w:val="20"/>
                <w:szCs w:val="20"/>
                <w:lang w:eastAsia="es-CO"/>
              </w:rPr>
              <w:t xml:space="preserve">según la tabla </w:t>
            </w:r>
            <w:r w:rsidRPr="00663431">
              <w:rPr>
                <w:rFonts w:ascii="Verdana" w:hAnsi="Verdana"/>
                <w:bCs/>
                <w:sz w:val="20"/>
                <w:szCs w:val="20"/>
              </w:rPr>
              <w:t>«</w:t>
            </w:r>
            <w:r w:rsidR="004677C7">
              <w:rPr>
                <w:rFonts w:ascii="Verdana" w:hAnsi="Verdana"/>
                <w:bCs/>
                <w:sz w:val="20"/>
                <w:szCs w:val="20"/>
              </w:rPr>
              <w:t>Estado del registro</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w:t>
            </w:r>
          </w:p>
          <w:p w14:paraId="78B9CE88" w14:textId="77777777" w:rsidR="0054244C" w:rsidRDefault="0054244C" w:rsidP="0054244C">
            <w:pPr>
              <w:autoSpaceDE w:val="0"/>
              <w:autoSpaceDN w:val="0"/>
              <w:adjustRightInd w:val="0"/>
              <w:jc w:val="both"/>
              <w:rPr>
                <w:rFonts w:ascii="Verdana" w:eastAsia="Times New Roman" w:hAnsi="Verdana" w:cs="Calibri"/>
                <w:color w:val="000000"/>
                <w:sz w:val="20"/>
                <w:szCs w:val="20"/>
                <w:lang w:eastAsia="es-CO"/>
              </w:rPr>
            </w:pPr>
          </w:p>
          <w:p w14:paraId="012A8793" w14:textId="21881F89" w:rsidR="00590D9D" w:rsidRPr="00663431" w:rsidRDefault="0054244C" w:rsidP="000B4D6A">
            <w:pPr>
              <w:autoSpaceDE w:val="0"/>
              <w:autoSpaceDN w:val="0"/>
              <w:adjustRightInd w:val="0"/>
              <w:jc w:val="both"/>
              <w:rPr>
                <w:rFonts w:ascii="Verdana" w:eastAsia="Times New Roman" w:hAnsi="Verdana" w:cs="Calibri"/>
                <w:color w:val="FF0000"/>
                <w:sz w:val="20"/>
                <w:szCs w:val="20"/>
                <w:lang w:eastAsia="es-CO"/>
              </w:rPr>
            </w:pPr>
            <w:r w:rsidRPr="00B30AFB">
              <w:rPr>
                <w:rFonts w:ascii="Verdana" w:hAnsi="Verdana" w:cs="Verdana"/>
                <w:i/>
                <w:iCs/>
                <w:sz w:val="20"/>
                <w:szCs w:val="20"/>
              </w:rPr>
              <w:t>Inicio</w:t>
            </w:r>
            <w:r w:rsidR="00C509DF">
              <w:rPr>
                <w:rFonts w:ascii="Verdana" w:hAnsi="Verdana" w:cs="Verdana"/>
                <w:i/>
                <w:iCs/>
                <w:sz w:val="20"/>
                <w:szCs w:val="20"/>
              </w:rPr>
              <w:t xml:space="preserve"> </w:t>
            </w:r>
            <w:r w:rsidRPr="00B30AFB">
              <w:rPr>
                <w:rFonts w:ascii="Verdana" w:hAnsi="Verdana" w:cs="Verdana"/>
                <w:i/>
                <w:iCs/>
                <w:sz w:val="20"/>
                <w:szCs w:val="20"/>
              </w:rPr>
              <w:t>/</w:t>
            </w:r>
            <w:r w:rsidR="00C509DF">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Información general de los </w:t>
            </w:r>
            <w:r w:rsidRPr="00B30AFB">
              <w:rPr>
                <w:rFonts w:ascii="Verdana" w:hAnsi="Verdana" w:cs="Verdana"/>
                <w:i/>
                <w:iCs/>
                <w:sz w:val="20"/>
                <w:szCs w:val="20"/>
              </w:rPr>
              <w:lastRenderedPageBreak/>
              <w:t xml:space="preserve">deudores y créditos, hoja </w:t>
            </w:r>
            <w:r w:rsidR="00B02AFE">
              <w:rPr>
                <w:rFonts w:ascii="Verdana" w:hAnsi="Verdana" w:cs="Verdana"/>
                <w:i/>
                <w:iCs/>
                <w:sz w:val="20"/>
                <w:szCs w:val="20"/>
              </w:rPr>
              <w:t>Marco</w:t>
            </w:r>
            <w:r w:rsidR="00EE75F0">
              <w:rPr>
                <w:rFonts w:ascii="Verdana" w:hAnsi="Verdana" w:cs="Verdana"/>
                <w:i/>
                <w:iCs/>
                <w:sz w:val="20"/>
                <w:szCs w:val="20"/>
              </w:rPr>
              <w:t xml:space="preserve"> legal</w:t>
            </w:r>
          </w:p>
        </w:tc>
      </w:tr>
    </w:tbl>
    <w:p w14:paraId="0244A2A4" w14:textId="77777777" w:rsidR="00DB4703" w:rsidRDefault="00DB4703" w:rsidP="006E6826">
      <w:pPr>
        <w:jc w:val="center"/>
        <w:outlineLvl w:val="0"/>
        <w:rPr>
          <w:rFonts w:ascii="Verdana" w:hAnsi="Verdana"/>
          <w:b/>
          <w:sz w:val="20"/>
          <w:szCs w:val="20"/>
        </w:rPr>
      </w:pPr>
    </w:p>
    <w:p w14:paraId="3BB98E3A" w14:textId="77777777" w:rsidR="00DB4703" w:rsidRDefault="00DB4703" w:rsidP="006E6826">
      <w:pPr>
        <w:jc w:val="center"/>
        <w:outlineLvl w:val="0"/>
        <w:rPr>
          <w:rFonts w:ascii="Verdana" w:hAnsi="Verdana"/>
          <w:b/>
          <w:sz w:val="20"/>
          <w:szCs w:val="20"/>
        </w:rPr>
      </w:pPr>
    </w:p>
    <w:p w14:paraId="532EA99A" w14:textId="7C651C08" w:rsidR="003B0973" w:rsidRDefault="003B0973">
      <w:pPr>
        <w:spacing w:after="160" w:line="259" w:lineRule="auto"/>
        <w:rPr>
          <w:rFonts w:ascii="Verdana" w:hAnsi="Verdana"/>
          <w:b/>
          <w:sz w:val="20"/>
          <w:szCs w:val="20"/>
        </w:rPr>
      </w:pPr>
      <w:r>
        <w:rPr>
          <w:rFonts w:ascii="Verdana" w:hAnsi="Verdana"/>
          <w:b/>
          <w:sz w:val="20"/>
          <w:szCs w:val="20"/>
        </w:rPr>
        <w:br w:type="page"/>
      </w:r>
    </w:p>
    <w:p w14:paraId="17F0BA20" w14:textId="5FD25438" w:rsidR="006E6826" w:rsidRPr="007F79E2" w:rsidRDefault="006E6826" w:rsidP="006E6826">
      <w:pPr>
        <w:jc w:val="center"/>
        <w:outlineLvl w:val="0"/>
        <w:rPr>
          <w:rFonts w:ascii="Verdana" w:hAnsi="Verdana"/>
          <w:b/>
          <w:sz w:val="20"/>
          <w:szCs w:val="20"/>
        </w:rPr>
      </w:pPr>
      <w:r w:rsidRPr="007F79E2">
        <w:rPr>
          <w:rFonts w:ascii="Verdana" w:hAnsi="Verdana"/>
          <w:b/>
          <w:sz w:val="20"/>
          <w:szCs w:val="20"/>
        </w:rPr>
        <w:lastRenderedPageBreak/>
        <w:t xml:space="preserve">MURIC-001-002 </w:t>
      </w:r>
    </w:p>
    <w:p w14:paraId="09211E38" w14:textId="12307695" w:rsidR="006E6826" w:rsidRDefault="00EF67E3" w:rsidP="006E6826">
      <w:pPr>
        <w:jc w:val="center"/>
        <w:outlineLvl w:val="0"/>
        <w:rPr>
          <w:rFonts w:ascii="Verdana" w:hAnsi="Verdana"/>
          <w:b/>
          <w:sz w:val="20"/>
          <w:szCs w:val="20"/>
        </w:rPr>
      </w:pPr>
      <w:r w:rsidRPr="007F79E2">
        <w:rPr>
          <w:rFonts w:ascii="Verdana" w:hAnsi="Verdana"/>
          <w:b/>
          <w:sz w:val="20"/>
          <w:szCs w:val="20"/>
        </w:rPr>
        <w:t>A</w:t>
      </w:r>
      <w:r w:rsidR="006E6826" w:rsidRPr="007F79E2">
        <w:rPr>
          <w:rFonts w:ascii="Verdana" w:hAnsi="Verdana"/>
          <w:b/>
          <w:sz w:val="20"/>
          <w:szCs w:val="20"/>
        </w:rPr>
        <w:t>tributos de los créditos</w:t>
      </w:r>
      <w:r w:rsidR="00DC126F">
        <w:rPr>
          <w:rFonts w:ascii="Verdana" w:hAnsi="Verdana"/>
          <w:b/>
          <w:sz w:val="20"/>
          <w:szCs w:val="20"/>
        </w:rPr>
        <w:t xml:space="preserve"> y deudores</w:t>
      </w:r>
    </w:p>
    <w:p w14:paraId="61868D7C" w14:textId="216389CA" w:rsidR="00CF627D" w:rsidRPr="00075DE0" w:rsidRDefault="00CF627D" w:rsidP="00CF627D">
      <w:pPr>
        <w:jc w:val="both"/>
        <w:rPr>
          <w:rFonts w:ascii="Verdana" w:hAnsi="Verdana" w:cs="Arial"/>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2"/>
        <w:gridCol w:w="3177"/>
        <w:gridCol w:w="4198"/>
      </w:tblGrid>
      <w:tr w:rsidR="00CF627D" w:rsidRPr="00075DE0" w14:paraId="53763082" w14:textId="77777777" w:rsidTr="00EC25DF">
        <w:trPr>
          <w:trHeight w:val="550"/>
          <w:tblHeader/>
        </w:trPr>
        <w:tc>
          <w:tcPr>
            <w:tcW w:w="1692" w:type="dxa"/>
            <w:vAlign w:val="center"/>
            <w:hideMark/>
          </w:tcPr>
          <w:p w14:paraId="01EEC4E3"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NOMBRE CAMPO</w:t>
            </w:r>
          </w:p>
        </w:tc>
        <w:tc>
          <w:tcPr>
            <w:tcW w:w="3177" w:type="dxa"/>
            <w:vAlign w:val="center"/>
          </w:tcPr>
          <w:p w14:paraId="4003EF17"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VARIABLE</w:t>
            </w:r>
          </w:p>
        </w:tc>
        <w:tc>
          <w:tcPr>
            <w:tcW w:w="4198" w:type="dxa"/>
            <w:vAlign w:val="center"/>
            <w:hideMark/>
          </w:tcPr>
          <w:p w14:paraId="71F808CA"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DESCRIPCIÓN</w:t>
            </w:r>
          </w:p>
        </w:tc>
      </w:tr>
      <w:tr w:rsidR="00820C58" w:rsidRPr="00075DE0" w14:paraId="65E3C822" w14:textId="77777777" w:rsidTr="00EC25DF">
        <w:trPr>
          <w:trHeight w:val="560"/>
        </w:trPr>
        <w:tc>
          <w:tcPr>
            <w:tcW w:w="1692" w:type="dxa"/>
            <w:vAlign w:val="center"/>
            <w:hideMark/>
          </w:tcPr>
          <w:p w14:paraId="782FC044" w14:textId="74832B06"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 xml:space="preserve">Identificación del </w:t>
            </w:r>
            <w:r>
              <w:rPr>
                <w:rFonts w:ascii="Verdana" w:eastAsia="Times New Roman" w:hAnsi="Verdana" w:cs="Calibri"/>
                <w:sz w:val="20"/>
                <w:szCs w:val="20"/>
                <w:lang w:eastAsia="es-CO"/>
              </w:rPr>
              <w:t>c</w:t>
            </w:r>
            <w:r w:rsidRPr="00075DE0">
              <w:rPr>
                <w:rFonts w:ascii="Verdana" w:eastAsia="Times New Roman" w:hAnsi="Verdana" w:cs="Calibri"/>
                <w:sz w:val="20"/>
                <w:szCs w:val="20"/>
                <w:lang w:eastAsia="es-CO"/>
              </w:rPr>
              <w:t>rédito</w:t>
            </w:r>
          </w:p>
        </w:tc>
        <w:tc>
          <w:tcPr>
            <w:tcW w:w="3177" w:type="dxa"/>
            <w:vAlign w:val="center"/>
          </w:tcPr>
          <w:p w14:paraId="42E85B5E" w14:textId="1883DE82" w:rsidR="00820C58" w:rsidRPr="00075DE0" w:rsidRDefault="00820C58" w:rsidP="00820C58">
            <w:pPr>
              <w:jc w:val="center"/>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Identificacion_credito_entidad</w:t>
            </w:r>
          </w:p>
        </w:tc>
        <w:tc>
          <w:tcPr>
            <w:tcW w:w="4198" w:type="dxa"/>
            <w:vAlign w:val="center"/>
          </w:tcPr>
          <w:p w14:paraId="250853E6" w14:textId="77777777" w:rsidR="00820C58" w:rsidRPr="00663431" w:rsidRDefault="00820C58" w:rsidP="00820C58">
            <w:pPr>
              <w:jc w:val="both"/>
              <w:rPr>
                <w:rFonts w:ascii="Verdana" w:eastAsia="Times New Roman" w:hAnsi="Verdana" w:cs="Calibri"/>
                <w:b/>
                <w:bCs/>
                <w:color w:val="000000"/>
                <w:sz w:val="20"/>
                <w:szCs w:val="20"/>
                <w:lang w:eastAsia="es-CO"/>
              </w:rPr>
            </w:pPr>
            <w:r w:rsidRPr="00663431">
              <w:rPr>
                <w:rFonts w:ascii="Verdana" w:eastAsia="Times New Roman" w:hAnsi="Verdana" w:cs="Calibri"/>
                <w:color w:val="000000"/>
                <w:sz w:val="20"/>
                <w:szCs w:val="20"/>
                <w:lang w:eastAsia="es-CO"/>
              </w:rPr>
              <w:t>Registre el código de identificación del crédito asignado en las bases de datos de la entidad. Este código debe ser individual por</w:t>
            </w:r>
            <w:r>
              <w:rPr>
                <w:rFonts w:ascii="Verdana" w:eastAsia="Times New Roman" w:hAnsi="Verdana" w:cs="Calibri"/>
                <w:color w:val="000000"/>
                <w:sz w:val="20"/>
                <w:szCs w:val="20"/>
                <w:lang w:eastAsia="es-CO"/>
              </w:rPr>
              <w:t xml:space="preserve"> cada</w:t>
            </w:r>
            <w:r w:rsidRPr="00663431">
              <w:rPr>
                <w:rFonts w:ascii="Verdana" w:eastAsia="Times New Roman" w:hAnsi="Verdana" w:cs="Calibri"/>
                <w:color w:val="000000"/>
                <w:sz w:val="20"/>
                <w:szCs w:val="20"/>
                <w:lang w:eastAsia="es-CO"/>
              </w:rPr>
              <w:t xml:space="preserve"> operación reportada.</w:t>
            </w:r>
          </w:p>
          <w:p w14:paraId="4B877014" w14:textId="77777777" w:rsidR="00820C58" w:rsidRPr="00663431" w:rsidRDefault="00820C58" w:rsidP="00820C58">
            <w:pPr>
              <w:jc w:val="both"/>
              <w:outlineLvl w:val="0"/>
              <w:rPr>
                <w:rFonts w:ascii="Verdana" w:hAnsi="Verdana"/>
                <w:bCs/>
                <w:sz w:val="20"/>
                <w:szCs w:val="20"/>
              </w:rPr>
            </w:pPr>
          </w:p>
          <w:p w14:paraId="25E37AB8" w14:textId="77777777" w:rsidR="00820C58" w:rsidRPr="00663431" w:rsidRDefault="00820C58" w:rsidP="00820C58">
            <w:pPr>
              <w:jc w:val="both"/>
              <w:outlineLvl w:val="0"/>
              <w:rPr>
                <w:rFonts w:ascii="Verdana" w:hAnsi="Verdana"/>
                <w:bCs/>
                <w:sz w:val="20"/>
                <w:szCs w:val="20"/>
              </w:rPr>
            </w:pPr>
            <w:r w:rsidRPr="00663431">
              <w:rPr>
                <w:rFonts w:ascii="Verdana" w:hAnsi="Verdana"/>
                <w:bCs/>
                <w:sz w:val="20"/>
                <w:szCs w:val="20"/>
              </w:rPr>
              <w:t xml:space="preserve">Si existe un código de identificación de crédito duplicado dentro de los sistemas de la entidad, se debe agregar un prefijo al código de identificación de la operación, a partir del código del producto respectivo según la codificación publicada en la página web de la SFC en la </w:t>
            </w:r>
            <w:r w:rsidRPr="00663431">
              <w:rPr>
                <w:rFonts w:ascii="Verdana" w:eastAsia="Times New Roman" w:hAnsi="Verdana" w:cs="Calibri"/>
                <w:color w:val="000000"/>
                <w:sz w:val="20"/>
                <w:szCs w:val="20"/>
                <w:lang w:eastAsia="es-CO"/>
              </w:rPr>
              <w:t xml:space="preserve">sección: </w:t>
            </w:r>
          </w:p>
          <w:p w14:paraId="22E7BB50" w14:textId="77777777" w:rsidR="00820C58" w:rsidRPr="00663431" w:rsidRDefault="00820C58" w:rsidP="00820C58">
            <w:pPr>
              <w:jc w:val="both"/>
              <w:rPr>
                <w:rFonts w:ascii="Verdana" w:eastAsia="Times New Roman" w:hAnsi="Verdana" w:cs="Calibri"/>
                <w:color w:val="000000"/>
                <w:sz w:val="20"/>
                <w:szCs w:val="20"/>
                <w:lang w:eastAsia="es-CO"/>
              </w:rPr>
            </w:pPr>
          </w:p>
          <w:p w14:paraId="2F09B711" w14:textId="5A7A9C8A" w:rsidR="00820C58" w:rsidRPr="009C2E0F" w:rsidRDefault="00820C58" w:rsidP="00820C58">
            <w:pPr>
              <w:jc w:val="both"/>
              <w:outlineLvl w:val="0"/>
              <w:rPr>
                <w:rFonts w:ascii="Verdana" w:eastAsia="Times New Roman" w:hAnsi="Verdana" w:cs="Calibri"/>
                <w:i/>
                <w:iCs/>
                <w:color w:val="000000"/>
                <w:sz w:val="20"/>
                <w:szCs w:val="20"/>
                <w:lang w:val="es-CO"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Pr="009C2E0F">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22C0DA33" w14:textId="77777777" w:rsidR="00820C58" w:rsidRDefault="00820C58" w:rsidP="00820C58">
            <w:pPr>
              <w:jc w:val="both"/>
              <w:outlineLvl w:val="0"/>
              <w:rPr>
                <w:rFonts w:ascii="Verdana" w:hAnsi="Verdana"/>
                <w:bCs/>
                <w:sz w:val="20"/>
                <w:szCs w:val="20"/>
              </w:rPr>
            </w:pPr>
          </w:p>
          <w:p w14:paraId="037DC52A" w14:textId="6AF73424" w:rsidR="002F4DBA" w:rsidRDefault="00820C58" w:rsidP="00732BA8">
            <w:pPr>
              <w:jc w:val="both"/>
              <w:outlineLvl w:val="0"/>
              <w:rPr>
                <w:rFonts w:ascii="Verdana" w:hAnsi="Verdana"/>
                <w:bCs/>
                <w:sz w:val="20"/>
                <w:szCs w:val="20"/>
              </w:rPr>
            </w:pPr>
            <w:r>
              <w:rPr>
                <w:rFonts w:ascii="Verdana" w:hAnsi="Verdana"/>
                <w:bCs/>
                <w:sz w:val="20"/>
                <w:szCs w:val="20"/>
              </w:rPr>
              <w:t xml:space="preserve">En los casos de los créditos que admiten exposiciones en más de una moneda bajo un mismo código de identificación dentro de los sistemas de la entidad, se </w:t>
            </w:r>
            <w:r w:rsidRPr="00663431">
              <w:rPr>
                <w:rFonts w:ascii="Verdana" w:hAnsi="Verdana"/>
                <w:bCs/>
                <w:sz w:val="20"/>
                <w:szCs w:val="20"/>
              </w:rPr>
              <w:t xml:space="preserve">debe agregar </w:t>
            </w:r>
            <w:r>
              <w:rPr>
                <w:rFonts w:ascii="Verdana" w:hAnsi="Verdana"/>
                <w:bCs/>
                <w:sz w:val="20"/>
                <w:szCs w:val="20"/>
              </w:rPr>
              <w:t>el código de la moneda de cada exposición al final de</w:t>
            </w:r>
            <w:r w:rsidRPr="00663431">
              <w:rPr>
                <w:rFonts w:ascii="Verdana" w:hAnsi="Verdana"/>
                <w:bCs/>
                <w:sz w:val="20"/>
                <w:szCs w:val="20"/>
              </w:rPr>
              <w:t xml:space="preserve">l código de identificación </w:t>
            </w:r>
            <w:r>
              <w:rPr>
                <w:rFonts w:ascii="Verdana" w:hAnsi="Verdana"/>
                <w:bCs/>
                <w:sz w:val="20"/>
                <w:szCs w:val="20"/>
              </w:rPr>
              <w:t>del crédito, de forma que se pueda identificar que las distintas exposiciones por moneda corresponden a la misma operación de crédito. Para incluir el código de la moneda se debe</w:t>
            </w:r>
            <w:r w:rsidR="002F4DBA">
              <w:rPr>
                <w:rFonts w:ascii="Verdana" w:hAnsi="Verdana"/>
                <w:bCs/>
                <w:sz w:val="20"/>
                <w:szCs w:val="20"/>
              </w:rPr>
              <w:t xml:space="preserve"> registrar el código alfabético de la moneda, de acuerdo con la codificación internacional de la ISO 4217, o cualquier otra que la sustituya.</w:t>
            </w:r>
          </w:p>
          <w:p w14:paraId="41A81063" w14:textId="77777777" w:rsidR="00820C58" w:rsidRPr="00663431" w:rsidRDefault="00820C58" w:rsidP="00820C58">
            <w:pPr>
              <w:jc w:val="both"/>
              <w:outlineLvl w:val="0"/>
              <w:rPr>
                <w:rFonts w:ascii="Verdana" w:hAnsi="Verdana"/>
                <w:bCs/>
                <w:sz w:val="20"/>
                <w:szCs w:val="20"/>
              </w:rPr>
            </w:pPr>
          </w:p>
          <w:p w14:paraId="472E5ABC" w14:textId="343C1C9C" w:rsidR="00820C58" w:rsidRDefault="00820C58" w:rsidP="00820C58">
            <w:pPr>
              <w:jc w:val="both"/>
              <w:rPr>
                <w:rFonts w:ascii="Verdana" w:hAnsi="Verdana"/>
                <w:bCs/>
                <w:sz w:val="20"/>
                <w:szCs w:val="20"/>
              </w:rPr>
            </w:pPr>
            <w:r w:rsidRPr="00663431">
              <w:rPr>
                <w:rFonts w:ascii="Verdana" w:hAnsi="Verdana"/>
                <w:bCs/>
                <w:sz w:val="20"/>
                <w:szCs w:val="20"/>
              </w:rPr>
              <w:t xml:space="preserve">En cualquier caso, el código de identificación </w:t>
            </w:r>
            <w:r>
              <w:rPr>
                <w:rFonts w:ascii="Verdana" w:hAnsi="Verdana"/>
                <w:bCs/>
                <w:sz w:val="20"/>
                <w:szCs w:val="20"/>
              </w:rPr>
              <w:t xml:space="preserve">modificado con </w:t>
            </w:r>
            <w:r w:rsidRPr="00663431">
              <w:rPr>
                <w:rFonts w:ascii="Verdana" w:hAnsi="Verdana"/>
                <w:bCs/>
                <w:sz w:val="20"/>
                <w:szCs w:val="20"/>
              </w:rPr>
              <w:t>el prefijo</w:t>
            </w:r>
            <w:r>
              <w:rPr>
                <w:rFonts w:ascii="Verdana" w:hAnsi="Verdana"/>
                <w:bCs/>
                <w:sz w:val="20"/>
                <w:szCs w:val="20"/>
              </w:rPr>
              <w:t xml:space="preserve"> por producto o con el código por moneda</w:t>
            </w:r>
            <w:r w:rsidRPr="00663431">
              <w:rPr>
                <w:rFonts w:ascii="Verdana" w:hAnsi="Verdana"/>
                <w:bCs/>
                <w:sz w:val="20"/>
                <w:szCs w:val="20"/>
              </w:rPr>
              <w:t xml:space="preserve"> </w:t>
            </w:r>
            <w:r>
              <w:rPr>
                <w:rFonts w:ascii="Verdana" w:hAnsi="Verdana"/>
                <w:bCs/>
                <w:sz w:val="20"/>
                <w:szCs w:val="20"/>
              </w:rPr>
              <w:t xml:space="preserve">debe </w:t>
            </w:r>
            <w:r w:rsidRPr="00663431">
              <w:rPr>
                <w:rFonts w:ascii="Verdana" w:hAnsi="Verdana"/>
                <w:bCs/>
                <w:sz w:val="20"/>
                <w:szCs w:val="20"/>
              </w:rPr>
              <w:t xml:space="preserve">ser consistente en </w:t>
            </w:r>
            <w:r w:rsidR="009C6661">
              <w:rPr>
                <w:rFonts w:ascii="Verdana" w:hAnsi="Verdana"/>
                <w:bCs/>
                <w:sz w:val="20"/>
                <w:szCs w:val="20"/>
              </w:rPr>
              <w:t>el</w:t>
            </w:r>
            <w:r w:rsidRPr="00663431">
              <w:rPr>
                <w:rFonts w:ascii="Verdana" w:hAnsi="Verdana"/>
                <w:bCs/>
                <w:sz w:val="20"/>
                <w:szCs w:val="20"/>
              </w:rPr>
              <w:t xml:space="preserve"> MURIC.</w:t>
            </w:r>
          </w:p>
          <w:p w14:paraId="25D741F0" w14:textId="77777777" w:rsidR="003B0973" w:rsidRDefault="003B0973" w:rsidP="00820C58">
            <w:pPr>
              <w:jc w:val="both"/>
              <w:rPr>
                <w:rFonts w:ascii="Verdana" w:hAnsi="Verdana"/>
                <w:bCs/>
                <w:sz w:val="20"/>
                <w:szCs w:val="20"/>
              </w:rPr>
            </w:pPr>
          </w:p>
          <w:p w14:paraId="21649AAA" w14:textId="042E4058" w:rsidR="00886FDC" w:rsidRDefault="00D07DFF" w:rsidP="00886FDC">
            <w:pPr>
              <w:jc w:val="both"/>
              <w:outlineLvl w:val="0"/>
              <w:rPr>
                <w:rFonts w:ascii="Verdana" w:hAnsi="Verdana"/>
                <w:color w:val="000000"/>
                <w:sz w:val="20"/>
                <w:szCs w:val="20"/>
              </w:rPr>
            </w:pPr>
            <w:r>
              <w:rPr>
                <w:rFonts w:ascii="Verdana" w:hAnsi="Verdana"/>
                <w:color w:val="000000"/>
                <w:sz w:val="20"/>
                <w:szCs w:val="20"/>
              </w:rPr>
              <w:t>También es o</w:t>
            </w:r>
            <w:r w:rsidR="00886FDC">
              <w:rPr>
                <w:rFonts w:ascii="Verdana" w:hAnsi="Verdana"/>
                <w:color w:val="000000"/>
                <w:sz w:val="20"/>
                <w:szCs w:val="20"/>
              </w:rPr>
              <w:t xml:space="preserve">bligatorio para el reporte de que tratan los numerales </w:t>
            </w:r>
            <w:r w:rsidR="00B80BB2">
              <w:rPr>
                <w:rFonts w:ascii="Verdana" w:hAnsi="Verdana"/>
                <w:color w:val="000000"/>
                <w:sz w:val="20"/>
                <w:szCs w:val="20"/>
              </w:rPr>
              <w:t xml:space="preserve">14 (ii), </w:t>
            </w:r>
            <w:r w:rsidR="00886FDC">
              <w:rPr>
                <w:rFonts w:ascii="Verdana" w:hAnsi="Verdana"/>
                <w:color w:val="000000"/>
                <w:sz w:val="20"/>
                <w:szCs w:val="20"/>
              </w:rPr>
              <w:t>15, 16, 17</w:t>
            </w:r>
            <w:r w:rsidR="00627C33">
              <w:rPr>
                <w:rFonts w:ascii="Verdana" w:hAnsi="Verdana"/>
                <w:color w:val="000000"/>
                <w:sz w:val="20"/>
                <w:szCs w:val="20"/>
              </w:rPr>
              <w:t>,</w:t>
            </w:r>
            <w:r w:rsidR="00886FDC">
              <w:rPr>
                <w:rFonts w:ascii="Verdana" w:hAnsi="Verdana"/>
                <w:color w:val="000000"/>
                <w:sz w:val="20"/>
                <w:szCs w:val="20"/>
              </w:rPr>
              <w:t xml:space="preserve"> 18</w:t>
            </w:r>
            <w:r w:rsidR="00627C33">
              <w:rPr>
                <w:rFonts w:ascii="Verdana" w:hAnsi="Verdana"/>
                <w:color w:val="000000"/>
                <w:sz w:val="20"/>
                <w:szCs w:val="20"/>
              </w:rPr>
              <w:t xml:space="preserve"> y 31</w:t>
            </w:r>
            <w:r w:rsidR="00886FDC">
              <w:rPr>
                <w:rFonts w:ascii="Verdana" w:hAnsi="Verdana"/>
                <w:color w:val="000000"/>
                <w:sz w:val="20"/>
                <w:szCs w:val="20"/>
              </w:rPr>
              <w:t xml:space="preserve"> de las </w:t>
            </w:r>
            <w:r w:rsidR="00886FDC" w:rsidRPr="00422DCE">
              <w:rPr>
                <w:rFonts w:ascii="Verdana" w:hAnsi="Verdana"/>
                <w:bCs/>
                <w:sz w:val="20"/>
                <w:szCs w:val="20"/>
              </w:rPr>
              <w:t>«</w:t>
            </w:r>
            <w:r w:rsidR="00886FDC" w:rsidRPr="00075DE0">
              <w:rPr>
                <w:rFonts w:ascii="Verdana" w:hAnsi="Verdana"/>
                <w:bCs/>
                <w:sz w:val="20"/>
                <w:szCs w:val="20"/>
              </w:rPr>
              <w:t>Re</w:t>
            </w:r>
            <w:r w:rsidR="00886FDC">
              <w:rPr>
                <w:rFonts w:ascii="Verdana" w:hAnsi="Verdana"/>
                <w:bCs/>
                <w:sz w:val="20"/>
                <w:szCs w:val="20"/>
              </w:rPr>
              <w:t>glas generales de diligenciamiento</w:t>
            </w:r>
            <w:r w:rsidR="00886FDC" w:rsidRPr="00BD40EF">
              <w:rPr>
                <w:rFonts w:ascii="Verdana" w:hAnsi="Verdana"/>
                <w:bCs/>
                <w:sz w:val="20"/>
                <w:szCs w:val="20"/>
              </w:rPr>
              <w:t>»</w:t>
            </w:r>
            <w:r w:rsidR="00886FDC">
              <w:rPr>
                <w:rFonts w:ascii="Verdana" w:hAnsi="Verdana"/>
                <w:bCs/>
                <w:sz w:val="20"/>
                <w:szCs w:val="20"/>
              </w:rPr>
              <w:t xml:space="preserve"> del presente documento.</w:t>
            </w:r>
          </w:p>
          <w:p w14:paraId="6E9504BD" w14:textId="3C4BFE5A" w:rsidR="003B0973" w:rsidRPr="008C01CF" w:rsidRDefault="003B0973" w:rsidP="00820C58">
            <w:pPr>
              <w:jc w:val="both"/>
              <w:rPr>
                <w:rFonts w:ascii="Verdana" w:eastAsia="Times New Roman" w:hAnsi="Verdana" w:cs="Calibri"/>
                <w:color w:val="000000"/>
                <w:sz w:val="20"/>
                <w:szCs w:val="20"/>
                <w:lang w:val="es-CO" w:eastAsia="es-CO"/>
              </w:rPr>
            </w:pPr>
          </w:p>
        </w:tc>
      </w:tr>
      <w:tr w:rsidR="00820C58" w:rsidRPr="00075DE0" w14:paraId="6720A123" w14:textId="77777777" w:rsidTr="00EC25DF">
        <w:trPr>
          <w:trHeight w:val="1620"/>
        </w:trPr>
        <w:tc>
          <w:tcPr>
            <w:tcW w:w="1692" w:type="dxa"/>
            <w:vAlign w:val="center"/>
            <w:hideMark/>
          </w:tcPr>
          <w:p w14:paraId="6E81BBC2" w14:textId="77777777"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lastRenderedPageBreak/>
              <w:t>Tipo identificación deudor</w:t>
            </w:r>
          </w:p>
        </w:tc>
        <w:tc>
          <w:tcPr>
            <w:tcW w:w="3177" w:type="dxa"/>
            <w:vAlign w:val="center"/>
          </w:tcPr>
          <w:p w14:paraId="020CE18A" w14:textId="77777777" w:rsidR="00820C58" w:rsidRPr="00075DE0" w:rsidRDefault="00820C58" w:rsidP="00820C58">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tipo_identificacion</w:t>
            </w:r>
          </w:p>
        </w:tc>
        <w:tc>
          <w:tcPr>
            <w:tcW w:w="4198" w:type="dxa"/>
            <w:vAlign w:val="center"/>
          </w:tcPr>
          <w:p w14:paraId="2F007DB0" w14:textId="77777777" w:rsidR="00820C58" w:rsidRPr="00663431" w:rsidRDefault="00820C58" w:rsidP="00820C58">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tipo de documento de identificación del deudor, según la tabla </w:t>
            </w:r>
            <w:r w:rsidRPr="00663431">
              <w:rPr>
                <w:rFonts w:ascii="Verdana" w:hAnsi="Verdana"/>
                <w:bCs/>
                <w:sz w:val="20"/>
                <w:szCs w:val="20"/>
              </w:rPr>
              <w:t>«T</w:t>
            </w:r>
            <w:r w:rsidRPr="00663431">
              <w:rPr>
                <w:rFonts w:ascii="Verdana" w:eastAsia="Times New Roman" w:hAnsi="Verdana" w:cs="Calibri"/>
                <w:color w:val="000000"/>
                <w:sz w:val="20"/>
                <w:szCs w:val="20"/>
                <w:lang w:eastAsia="es-CO"/>
              </w:rPr>
              <w:t>ipo de identificación</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 xml:space="preserve">: </w:t>
            </w:r>
          </w:p>
          <w:p w14:paraId="40E29404" w14:textId="77777777" w:rsidR="00820C58" w:rsidRPr="00663431" w:rsidRDefault="00820C58" w:rsidP="00820C58">
            <w:pPr>
              <w:jc w:val="both"/>
              <w:rPr>
                <w:rFonts w:ascii="Verdana" w:eastAsia="Times New Roman" w:hAnsi="Verdana" w:cs="Calibri"/>
                <w:color w:val="000000"/>
                <w:sz w:val="20"/>
                <w:szCs w:val="20"/>
                <w:lang w:eastAsia="es-CO"/>
              </w:rPr>
            </w:pPr>
          </w:p>
          <w:p w14:paraId="3A888DB3" w14:textId="77777777" w:rsidR="00820C58" w:rsidRDefault="00820C58" w:rsidP="00820C58">
            <w:pPr>
              <w:jc w:val="both"/>
              <w:rPr>
                <w:rFonts w:ascii="Verdana" w:eastAsia="Times New Roman" w:hAnsi="Verdana" w:cs="Calibri"/>
                <w:i/>
                <w:iCs/>
                <w:color w:val="000000"/>
                <w:sz w:val="20"/>
                <w:szCs w:val="20"/>
                <w:lang w:eastAsia="es-CO"/>
              </w:rPr>
            </w:pPr>
            <w:r w:rsidRPr="00663431">
              <w:rPr>
                <w:rFonts w:ascii="Verdana" w:eastAsia="Times New Roman" w:hAnsi="Verdana" w:cs="Calibri"/>
                <w:i/>
                <w:iCs/>
                <w:color w:val="000000"/>
                <w:sz w:val="20"/>
                <w:szCs w:val="20"/>
                <w:lang w:eastAsia="es-CO"/>
              </w:rPr>
              <w:t>Inicio</w:t>
            </w:r>
            <w:r>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sidR="004173BD">
              <w:rPr>
                <w:rFonts w:ascii="Verdana" w:eastAsia="Times New Roman" w:hAnsi="Verdana" w:cs="Calibri"/>
                <w:i/>
                <w:iCs/>
                <w:color w:val="000000"/>
                <w:sz w:val="20"/>
                <w:szCs w:val="20"/>
                <w:lang w:eastAsia="es-CO"/>
              </w:rPr>
              <w:t xml:space="preserve">Entidades vigiladas y controladas </w:t>
            </w:r>
            <w:r w:rsidRPr="00663431">
              <w:rPr>
                <w:rFonts w:ascii="Verdana" w:eastAsia="Times New Roman" w:hAnsi="Verdana" w:cs="Calibri"/>
                <w:i/>
                <w:iCs/>
                <w:color w:val="000000"/>
                <w:sz w:val="20"/>
                <w:szCs w:val="20"/>
                <w:lang w:eastAsia="es-CO"/>
              </w:rPr>
              <w:t xml:space="preserve">/ </w:t>
            </w:r>
            <w:r>
              <w:rPr>
                <w:rFonts w:ascii="Verdana" w:eastAsia="Times New Roman" w:hAnsi="Verdana" w:cs="Calibri"/>
                <w:i/>
                <w:iCs/>
                <w:color w:val="000000"/>
                <w:sz w:val="20"/>
                <w:szCs w:val="20"/>
                <w:lang w:eastAsia="es-CO"/>
              </w:rPr>
              <w:t>I</w:t>
            </w:r>
            <w:r w:rsidRPr="00663431">
              <w:rPr>
                <w:rFonts w:ascii="Verdana" w:eastAsia="Times New Roman" w:hAnsi="Verdana" w:cs="Calibri"/>
                <w:i/>
                <w:iCs/>
                <w:color w:val="000000"/>
                <w:sz w:val="20"/>
                <w:szCs w:val="20"/>
                <w:lang w:eastAsia="es-CO"/>
              </w:rPr>
              <w:t>nterés del vigilado/reportes /</w:t>
            </w:r>
            <w:r>
              <w:rPr>
                <w:rFonts w:ascii="Verdana" w:eastAsia="Times New Roman" w:hAnsi="Verdana" w:cs="Calibri"/>
                <w:i/>
                <w:iCs/>
                <w:color w:val="000000"/>
                <w:sz w:val="20"/>
                <w:szCs w:val="20"/>
                <w:lang w:eastAsia="es-CO"/>
              </w:rPr>
              <w:t xml:space="preserve"> Í</w:t>
            </w:r>
            <w:r w:rsidRPr="00663431">
              <w:rPr>
                <w:rFonts w:ascii="Verdana" w:eastAsia="Times New Roman" w:hAnsi="Verdana" w:cs="Calibri"/>
                <w:i/>
                <w:iCs/>
                <w:color w:val="000000"/>
                <w:sz w:val="20"/>
                <w:szCs w:val="20"/>
                <w:lang w:eastAsia="es-CO"/>
              </w:rPr>
              <w:t>ndice de reportes de información a la superintendencia financiera</w:t>
            </w:r>
            <w:r>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Pr>
                <w:rFonts w:ascii="Verdana" w:eastAsia="Times New Roman" w:hAnsi="Verdana" w:cs="Calibri"/>
                <w:i/>
                <w:iCs/>
                <w:color w:val="000000"/>
                <w:sz w:val="20"/>
                <w:szCs w:val="20"/>
                <w:lang w:eastAsia="es-CO"/>
              </w:rPr>
              <w:t>T</w:t>
            </w:r>
            <w:r w:rsidRPr="00663431">
              <w:rPr>
                <w:rFonts w:ascii="Verdana" w:eastAsia="Times New Roman" w:hAnsi="Verdana" w:cs="Calibri"/>
                <w:i/>
                <w:iCs/>
                <w:color w:val="000000"/>
                <w:sz w:val="20"/>
                <w:szCs w:val="20"/>
                <w:lang w:eastAsia="es-CO"/>
              </w:rPr>
              <w:t>ablas anexas para el reporte de información</w:t>
            </w:r>
            <w:r>
              <w:rPr>
                <w:rFonts w:ascii="Verdana" w:eastAsia="Times New Roman" w:hAnsi="Verdana" w:cs="Calibri"/>
                <w:i/>
                <w:iCs/>
                <w:color w:val="000000"/>
                <w:sz w:val="20"/>
                <w:szCs w:val="20"/>
                <w:lang w:eastAsia="es-CO"/>
              </w:rPr>
              <w:t xml:space="preserve"> / Tabla tipo de identificación</w:t>
            </w:r>
          </w:p>
          <w:p w14:paraId="79AA6BFC" w14:textId="77777777" w:rsidR="003B0973" w:rsidRDefault="003B0973" w:rsidP="00820C58">
            <w:pPr>
              <w:jc w:val="both"/>
              <w:rPr>
                <w:rFonts w:ascii="Verdana" w:eastAsia="Times New Roman" w:hAnsi="Verdana" w:cs="Calibri"/>
                <w:color w:val="000000"/>
                <w:sz w:val="20"/>
                <w:szCs w:val="20"/>
                <w:lang w:eastAsia="es-CO"/>
              </w:rPr>
            </w:pPr>
          </w:p>
          <w:p w14:paraId="3F5B7174" w14:textId="377664E4" w:rsidR="00886FDC" w:rsidRDefault="00D07DFF" w:rsidP="00886FDC">
            <w:pPr>
              <w:jc w:val="both"/>
              <w:outlineLvl w:val="0"/>
              <w:rPr>
                <w:rFonts w:ascii="Verdana" w:hAnsi="Verdana"/>
                <w:color w:val="000000"/>
                <w:sz w:val="20"/>
                <w:szCs w:val="20"/>
              </w:rPr>
            </w:pPr>
            <w:r>
              <w:rPr>
                <w:rFonts w:ascii="Verdana" w:hAnsi="Verdana"/>
                <w:color w:val="000000"/>
                <w:sz w:val="20"/>
                <w:szCs w:val="20"/>
              </w:rPr>
              <w:t>También es o</w:t>
            </w:r>
            <w:r w:rsidR="00886FDC">
              <w:rPr>
                <w:rFonts w:ascii="Verdana" w:hAnsi="Verdana"/>
                <w:color w:val="000000"/>
                <w:sz w:val="20"/>
                <w:szCs w:val="20"/>
              </w:rPr>
              <w:t xml:space="preserve">bligatorio para el reporte de que tratan los numerales </w:t>
            </w:r>
            <w:r w:rsidR="00B80BB2">
              <w:rPr>
                <w:rFonts w:ascii="Verdana" w:hAnsi="Verdana"/>
                <w:color w:val="000000"/>
                <w:sz w:val="20"/>
                <w:szCs w:val="20"/>
              </w:rPr>
              <w:t xml:space="preserve">14 (ii), </w:t>
            </w:r>
            <w:r w:rsidR="00886FDC">
              <w:rPr>
                <w:rFonts w:ascii="Verdana" w:hAnsi="Verdana"/>
                <w:color w:val="000000"/>
                <w:sz w:val="20"/>
                <w:szCs w:val="20"/>
              </w:rPr>
              <w:t>15, 16, 17</w:t>
            </w:r>
            <w:r w:rsidR="00627C33">
              <w:rPr>
                <w:rFonts w:ascii="Verdana" w:hAnsi="Verdana"/>
                <w:color w:val="000000"/>
                <w:sz w:val="20"/>
                <w:szCs w:val="20"/>
              </w:rPr>
              <w:t>,</w:t>
            </w:r>
            <w:r w:rsidR="00266E17">
              <w:rPr>
                <w:rFonts w:ascii="Verdana" w:hAnsi="Verdana"/>
                <w:color w:val="000000"/>
                <w:sz w:val="20"/>
                <w:szCs w:val="20"/>
              </w:rPr>
              <w:t xml:space="preserve"> </w:t>
            </w:r>
            <w:r w:rsidR="00886FDC">
              <w:rPr>
                <w:rFonts w:ascii="Verdana" w:hAnsi="Verdana"/>
                <w:color w:val="000000"/>
                <w:sz w:val="20"/>
                <w:szCs w:val="20"/>
              </w:rPr>
              <w:t>18</w:t>
            </w:r>
            <w:r w:rsidR="00627C33">
              <w:rPr>
                <w:rFonts w:ascii="Verdana" w:hAnsi="Verdana"/>
                <w:color w:val="000000"/>
                <w:sz w:val="20"/>
                <w:szCs w:val="20"/>
              </w:rPr>
              <w:t xml:space="preserve"> y 31</w:t>
            </w:r>
            <w:r w:rsidR="00886FDC">
              <w:rPr>
                <w:rFonts w:ascii="Verdana" w:hAnsi="Verdana"/>
                <w:color w:val="000000"/>
                <w:sz w:val="20"/>
                <w:szCs w:val="20"/>
              </w:rPr>
              <w:t xml:space="preserve"> de las </w:t>
            </w:r>
            <w:r w:rsidR="00886FDC" w:rsidRPr="00422DCE">
              <w:rPr>
                <w:rFonts w:ascii="Verdana" w:hAnsi="Verdana"/>
                <w:bCs/>
                <w:sz w:val="20"/>
                <w:szCs w:val="20"/>
              </w:rPr>
              <w:t>«</w:t>
            </w:r>
            <w:r w:rsidR="00886FDC" w:rsidRPr="00075DE0">
              <w:rPr>
                <w:rFonts w:ascii="Verdana" w:hAnsi="Verdana"/>
                <w:bCs/>
                <w:sz w:val="20"/>
                <w:szCs w:val="20"/>
              </w:rPr>
              <w:t>Re</w:t>
            </w:r>
            <w:r w:rsidR="00886FDC">
              <w:rPr>
                <w:rFonts w:ascii="Verdana" w:hAnsi="Verdana"/>
                <w:bCs/>
                <w:sz w:val="20"/>
                <w:szCs w:val="20"/>
              </w:rPr>
              <w:t>glas generales de diligenciamiento</w:t>
            </w:r>
            <w:r w:rsidR="00886FDC" w:rsidRPr="00BD40EF">
              <w:rPr>
                <w:rFonts w:ascii="Verdana" w:hAnsi="Verdana"/>
                <w:bCs/>
                <w:sz w:val="20"/>
                <w:szCs w:val="20"/>
              </w:rPr>
              <w:t>»</w:t>
            </w:r>
            <w:r w:rsidR="00886FDC">
              <w:rPr>
                <w:rFonts w:ascii="Verdana" w:hAnsi="Verdana"/>
                <w:bCs/>
                <w:sz w:val="20"/>
                <w:szCs w:val="20"/>
              </w:rPr>
              <w:t xml:space="preserve"> del presente documento.</w:t>
            </w:r>
          </w:p>
          <w:p w14:paraId="43351983" w14:textId="29DAFE1A" w:rsidR="005D3531" w:rsidRPr="0025410D" w:rsidRDefault="005D3531" w:rsidP="005D3531">
            <w:pPr>
              <w:jc w:val="both"/>
              <w:rPr>
                <w:rFonts w:ascii="Verdana" w:hAnsi="Verdana"/>
                <w:bCs/>
                <w:sz w:val="20"/>
                <w:szCs w:val="20"/>
              </w:rPr>
            </w:pPr>
          </w:p>
        </w:tc>
      </w:tr>
      <w:tr w:rsidR="00674FDE" w:rsidRPr="00075DE0" w14:paraId="3B66440A" w14:textId="77777777" w:rsidTr="00EC25DF">
        <w:trPr>
          <w:trHeight w:val="1620"/>
        </w:trPr>
        <w:tc>
          <w:tcPr>
            <w:tcW w:w="1692" w:type="dxa"/>
            <w:vAlign w:val="center"/>
            <w:hideMark/>
          </w:tcPr>
          <w:p w14:paraId="69D2B7CB" w14:textId="77777777" w:rsidR="00674FDE" w:rsidRPr="00075DE0" w:rsidRDefault="00674FDE" w:rsidP="00674FDE">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Número de identificación</w:t>
            </w:r>
          </w:p>
        </w:tc>
        <w:tc>
          <w:tcPr>
            <w:tcW w:w="3177" w:type="dxa"/>
            <w:vAlign w:val="center"/>
          </w:tcPr>
          <w:p w14:paraId="53E1DF28" w14:textId="77777777" w:rsidR="00674FDE" w:rsidRPr="00075DE0" w:rsidRDefault="00674FDE" w:rsidP="00674FDE">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numero_identificacion</w:t>
            </w:r>
          </w:p>
        </w:tc>
        <w:tc>
          <w:tcPr>
            <w:tcW w:w="4198" w:type="dxa"/>
            <w:vAlign w:val="center"/>
          </w:tcPr>
          <w:p w14:paraId="09EF7D5D" w14:textId="77777777" w:rsidR="00674FDE" w:rsidRDefault="00674FDE" w:rsidP="00674FDE">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número de identificación del deudor asignado por la Registraduría Nacional del Estado Civil, </w:t>
            </w:r>
            <w:r>
              <w:rPr>
                <w:rFonts w:ascii="Verdana" w:eastAsia="Times New Roman" w:hAnsi="Verdana" w:cs="Calibri"/>
                <w:color w:val="000000"/>
                <w:sz w:val="20"/>
                <w:szCs w:val="20"/>
                <w:lang w:eastAsia="es-CO"/>
              </w:rPr>
              <w:t xml:space="preserve">la </w:t>
            </w:r>
            <w:r w:rsidRPr="00663431">
              <w:rPr>
                <w:rFonts w:ascii="Verdana" w:eastAsia="Times New Roman" w:hAnsi="Verdana" w:cs="Calibri"/>
                <w:color w:val="000000"/>
                <w:sz w:val="20"/>
                <w:szCs w:val="20"/>
                <w:lang w:eastAsia="es-CO"/>
              </w:rPr>
              <w:t xml:space="preserve">Dirección de Impuestos y Aduanas Nacionales, o la entidad </w:t>
            </w:r>
            <w:r>
              <w:rPr>
                <w:rFonts w:ascii="Verdana" w:eastAsia="Times New Roman" w:hAnsi="Verdana" w:cs="Calibri"/>
                <w:color w:val="000000"/>
                <w:sz w:val="20"/>
                <w:szCs w:val="20"/>
                <w:lang w:eastAsia="es-CO"/>
              </w:rPr>
              <w:t>competente, según corresponda</w:t>
            </w:r>
            <w:r w:rsidRPr="00663431">
              <w:rPr>
                <w:rFonts w:ascii="Verdana" w:eastAsia="Times New Roman" w:hAnsi="Verdana" w:cs="Calibri"/>
                <w:color w:val="000000"/>
                <w:sz w:val="20"/>
                <w:szCs w:val="20"/>
                <w:lang w:eastAsia="es-CO"/>
              </w:rPr>
              <w:t>.</w:t>
            </w:r>
          </w:p>
          <w:p w14:paraId="43A9218A" w14:textId="77777777" w:rsidR="00674FDE" w:rsidRDefault="00674FDE" w:rsidP="00674FDE">
            <w:pPr>
              <w:jc w:val="both"/>
              <w:rPr>
                <w:rFonts w:ascii="Verdana" w:eastAsia="Times New Roman" w:hAnsi="Verdana" w:cs="Calibri"/>
                <w:color w:val="000000"/>
                <w:sz w:val="20"/>
                <w:szCs w:val="20"/>
                <w:lang w:eastAsia="es-CO"/>
              </w:rPr>
            </w:pPr>
          </w:p>
          <w:p w14:paraId="4A789348" w14:textId="77777777" w:rsidR="00674FDE" w:rsidRDefault="00674FDE" w:rsidP="00674FDE">
            <w:pPr>
              <w:jc w:val="both"/>
              <w:rPr>
                <w:rFonts w:ascii="Verdana" w:eastAsia="Times New Roman" w:hAnsi="Verdana" w:cs="Calibri"/>
                <w:color w:val="000000"/>
                <w:sz w:val="20"/>
                <w:szCs w:val="20"/>
                <w:lang w:eastAsia="es-CO"/>
              </w:rPr>
            </w:pPr>
            <w:r w:rsidRPr="00642D74">
              <w:rPr>
                <w:rFonts w:ascii="Verdana" w:eastAsia="Times New Roman" w:hAnsi="Verdana" w:cs="Calibri"/>
                <w:color w:val="000000"/>
                <w:sz w:val="20"/>
                <w:szCs w:val="20"/>
                <w:lang w:eastAsia="es-CO"/>
              </w:rPr>
              <w:t>Cuando el tipo de identificación corresponda a un NIT, se debe reportar el número sin dígito de verificación.</w:t>
            </w:r>
          </w:p>
          <w:p w14:paraId="0EB71D6E" w14:textId="77777777" w:rsidR="00674FDE" w:rsidRPr="00325192" w:rsidRDefault="00674FDE" w:rsidP="00674FDE">
            <w:pPr>
              <w:jc w:val="both"/>
              <w:rPr>
                <w:rFonts w:ascii="Verdana" w:eastAsia="Times New Roman" w:hAnsi="Verdana" w:cs="Calibri"/>
                <w:color w:val="000000"/>
                <w:sz w:val="20"/>
                <w:szCs w:val="20"/>
                <w:lang w:eastAsia="es-CO"/>
              </w:rPr>
            </w:pPr>
          </w:p>
          <w:p w14:paraId="67003CBF" w14:textId="77777777" w:rsidR="00674FDE" w:rsidRDefault="00674FDE" w:rsidP="00674FDE">
            <w:pPr>
              <w:jc w:val="both"/>
              <w:rPr>
                <w:rFonts w:ascii="Verdana" w:eastAsia="Times New Roman" w:hAnsi="Verdana" w:cs="Calibri"/>
                <w:color w:val="000000"/>
                <w:sz w:val="20"/>
                <w:szCs w:val="20"/>
                <w:lang w:eastAsia="es-CO"/>
              </w:rPr>
            </w:pPr>
            <w:r w:rsidRPr="00325192">
              <w:rPr>
                <w:rFonts w:ascii="Verdana" w:eastAsia="Times New Roman" w:hAnsi="Verdana" w:cs="Calibri"/>
                <w:color w:val="000000"/>
                <w:sz w:val="20"/>
                <w:szCs w:val="20"/>
                <w:lang w:eastAsia="es-CO"/>
              </w:rPr>
              <w:t xml:space="preserve">Si </w:t>
            </w:r>
            <w:r>
              <w:rPr>
                <w:rFonts w:ascii="Verdana" w:eastAsia="Times New Roman" w:hAnsi="Verdana" w:cs="Calibri"/>
                <w:color w:val="000000"/>
                <w:sz w:val="20"/>
                <w:szCs w:val="20"/>
                <w:lang w:eastAsia="es-CO"/>
              </w:rPr>
              <w:t>el deudor</w:t>
            </w:r>
            <w:r w:rsidRPr="00325192">
              <w:rPr>
                <w:rFonts w:ascii="Verdana" w:eastAsia="Times New Roman" w:hAnsi="Verdana" w:cs="Calibri"/>
                <w:color w:val="000000"/>
                <w:sz w:val="20"/>
                <w:szCs w:val="20"/>
                <w:lang w:eastAsia="es-CO"/>
              </w:rPr>
              <w:t xml:space="preserve"> es del exterior y no posee identificación en Colombia, registre el número, código o clave de identificación fiscal tributaria asignada en el país de residencia o domicilio. Si no se tiene el código o clave de identificación tributaria mencionado anteriormente, se deberá registrar el código interno que utilice o asigne la entidad para su identificación</w:t>
            </w:r>
            <w:r>
              <w:rPr>
                <w:rFonts w:ascii="Verdana" w:eastAsia="Times New Roman" w:hAnsi="Verdana" w:cs="Calibri"/>
                <w:color w:val="000000"/>
                <w:sz w:val="20"/>
                <w:szCs w:val="20"/>
                <w:lang w:eastAsia="es-CO"/>
              </w:rPr>
              <w:t>.</w:t>
            </w:r>
          </w:p>
          <w:p w14:paraId="72F8F853" w14:textId="77777777" w:rsidR="00674FDE" w:rsidRDefault="00674FDE" w:rsidP="00674FDE">
            <w:pPr>
              <w:jc w:val="both"/>
              <w:rPr>
                <w:rFonts w:ascii="Verdana" w:eastAsia="Times New Roman" w:hAnsi="Verdana" w:cs="Calibri"/>
                <w:color w:val="000000"/>
                <w:sz w:val="20"/>
                <w:szCs w:val="20"/>
                <w:lang w:eastAsia="es-CO"/>
              </w:rPr>
            </w:pPr>
          </w:p>
          <w:p w14:paraId="06CB36D2" w14:textId="69F1C529" w:rsidR="00674FDE" w:rsidRPr="00230A06" w:rsidRDefault="00674FDE" w:rsidP="00674FDE">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Si </w:t>
            </w:r>
            <w:r>
              <w:rPr>
                <w:rFonts w:ascii="Verdana" w:eastAsia="Times New Roman" w:hAnsi="Verdana" w:cs="Calibri"/>
                <w:color w:val="000000"/>
                <w:sz w:val="20"/>
                <w:szCs w:val="20"/>
                <w:lang w:val="es-CO" w:eastAsia="es-CO"/>
              </w:rPr>
              <w:t>el deudor</w:t>
            </w:r>
            <w:r w:rsidRPr="00B55C3C">
              <w:rPr>
                <w:rFonts w:ascii="Verdana" w:eastAsia="Times New Roman" w:hAnsi="Verdana" w:cs="Calibri"/>
                <w:color w:val="000000"/>
                <w:sz w:val="20"/>
                <w:szCs w:val="20"/>
                <w:lang w:val="es-CO" w:eastAsia="es-CO"/>
              </w:rPr>
              <w:t xml:space="preserve"> es un</w:t>
            </w:r>
            <w:r>
              <w:rPr>
                <w:rFonts w:ascii="Verdana" w:eastAsia="Times New Roman" w:hAnsi="Verdana" w:cs="Calibri"/>
                <w:color w:val="000000"/>
                <w:sz w:val="20"/>
                <w:szCs w:val="20"/>
                <w:lang w:val="es-CO" w:eastAsia="es-CO"/>
              </w:rPr>
              <w:t xml:space="preserve"> </w:t>
            </w:r>
            <w:r w:rsidRPr="00230A06">
              <w:rPr>
                <w:rFonts w:ascii="Verdana" w:eastAsia="Times New Roman" w:hAnsi="Verdana" w:cs="Calibri"/>
                <w:color w:val="000000"/>
                <w:sz w:val="20"/>
                <w:szCs w:val="20"/>
                <w:lang w:val="es-CO" w:eastAsia="es-CO"/>
              </w:rPr>
              <w:t>Negocio</w:t>
            </w:r>
            <w:r>
              <w:rPr>
                <w:rFonts w:ascii="Verdana" w:eastAsia="Times New Roman" w:hAnsi="Verdana" w:cs="Calibri"/>
                <w:color w:val="000000"/>
                <w:sz w:val="20"/>
                <w:szCs w:val="20"/>
                <w:lang w:val="es-CO" w:eastAsia="es-CO"/>
              </w:rPr>
              <w:t xml:space="preserve"> </w:t>
            </w:r>
            <w:r w:rsidRPr="00230A06">
              <w:rPr>
                <w:rFonts w:ascii="Verdana" w:eastAsia="Times New Roman" w:hAnsi="Verdana" w:cs="Calibri"/>
                <w:color w:val="000000"/>
                <w:sz w:val="20"/>
                <w:szCs w:val="20"/>
                <w:lang w:val="es-CO" w:eastAsia="es-CO"/>
              </w:rPr>
              <w:t>fiduciario que administr</w:t>
            </w:r>
            <w:r>
              <w:rPr>
                <w:rFonts w:ascii="Verdana" w:eastAsia="Times New Roman" w:hAnsi="Verdana" w:cs="Calibri"/>
                <w:color w:val="000000"/>
                <w:sz w:val="20"/>
                <w:szCs w:val="20"/>
                <w:lang w:val="es-CO" w:eastAsia="es-CO"/>
              </w:rPr>
              <w:t>a</w:t>
            </w:r>
            <w:r w:rsidRPr="00230A06">
              <w:rPr>
                <w:rFonts w:ascii="Verdana" w:eastAsia="Times New Roman" w:hAnsi="Verdana" w:cs="Calibri"/>
                <w:color w:val="000000"/>
                <w:sz w:val="20"/>
                <w:szCs w:val="20"/>
                <w:lang w:val="es-CO" w:eastAsia="es-CO"/>
              </w:rPr>
              <w:t xml:space="preserve"> cartera originada por establecimientos de crédito</w:t>
            </w:r>
            <w:r>
              <w:rPr>
                <w:rFonts w:ascii="Verdana" w:eastAsia="Times New Roman" w:hAnsi="Verdana" w:cs="Calibri"/>
                <w:color w:val="000000"/>
                <w:sz w:val="20"/>
                <w:szCs w:val="20"/>
                <w:lang w:val="es-CO" w:eastAsia="es-CO"/>
              </w:rPr>
              <w:t xml:space="preserve"> o un </w:t>
            </w:r>
            <w:r w:rsidRPr="00230A06">
              <w:rPr>
                <w:rFonts w:ascii="Verdana" w:eastAsia="Times New Roman" w:hAnsi="Verdana" w:cs="Calibri"/>
                <w:color w:val="000000"/>
                <w:sz w:val="20"/>
                <w:szCs w:val="20"/>
                <w:lang w:val="es-CO" w:eastAsia="es-CO"/>
              </w:rPr>
              <w:t>fondo de capital de privado que originan cartera, registre el código del negocio fiduciario, fondo o compartimento</w:t>
            </w:r>
            <w:r w:rsidR="00AD1F02">
              <w:rPr>
                <w:rFonts w:ascii="Verdana" w:eastAsia="Times New Roman" w:hAnsi="Verdana" w:cs="Calibri"/>
                <w:color w:val="000000"/>
                <w:sz w:val="20"/>
                <w:szCs w:val="20"/>
                <w:lang w:eastAsia="es-CO"/>
              </w:rPr>
              <w:t xml:space="preserve"> en caso de estar constituido de esta forma, </w:t>
            </w:r>
            <w:r w:rsidRPr="00230A06">
              <w:rPr>
                <w:rFonts w:ascii="Verdana" w:eastAsia="Times New Roman" w:hAnsi="Verdana" w:cs="Calibri"/>
                <w:color w:val="000000"/>
                <w:sz w:val="20"/>
                <w:szCs w:val="20"/>
                <w:lang w:val="es-CO" w:eastAsia="es-CO"/>
              </w:rPr>
              <w:t xml:space="preserve"> registrado en la SFC, de acuerdo con la siguiente codificación:</w:t>
            </w:r>
          </w:p>
          <w:p w14:paraId="3D02BA55"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 </w:t>
            </w:r>
          </w:p>
          <w:p w14:paraId="2CB31085"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TTTCCCTTTCCCCCC </w:t>
            </w:r>
          </w:p>
          <w:p w14:paraId="6C8D7649" w14:textId="77777777" w:rsidR="00674FDE" w:rsidRPr="00230A06" w:rsidRDefault="00674FDE" w:rsidP="00674FDE">
            <w:pPr>
              <w:jc w:val="both"/>
              <w:rPr>
                <w:rFonts w:ascii="Verdana" w:eastAsia="Times New Roman" w:hAnsi="Verdana" w:cs="Calibri"/>
                <w:color w:val="000000"/>
                <w:sz w:val="20"/>
                <w:szCs w:val="20"/>
                <w:lang w:val="es-CO" w:eastAsia="es-CO"/>
              </w:rPr>
            </w:pPr>
          </w:p>
          <w:p w14:paraId="09FFC2A9"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donde:</w:t>
            </w:r>
          </w:p>
          <w:p w14:paraId="07EA5AEB" w14:textId="1A61DC78" w:rsidR="00674FDE" w:rsidRPr="00230A06" w:rsidRDefault="00674FDE" w:rsidP="00674FDE">
            <w:pPr>
              <w:jc w:val="both"/>
              <w:rPr>
                <w:rFonts w:ascii="Verdana" w:eastAsia="Times New Roman" w:hAnsi="Verdana" w:cs="Calibri"/>
                <w:color w:val="000000"/>
                <w:sz w:val="20"/>
                <w:szCs w:val="20"/>
                <w:lang w:val="es-CO" w:eastAsia="es-CO"/>
              </w:rPr>
            </w:pPr>
          </w:p>
          <w:p w14:paraId="44AE955B"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w:t>
            </w:r>
          </w:p>
          <w:p w14:paraId="78A48F6F"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tipo de entidad administradora del vehículo respectivo, según lo señalado por la SFC.</w:t>
            </w:r>
          </w:p>
          <w:p w14:paraId="5C1F8B2F"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CCC:</w:t>
            </w:r>
          </w:p>
          <w:p w14:paraId="412B7FA3"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lastRenderedPageBreak/>
              <w:t>Corresponde al código de la entidad administradora del vehículo, según lo señalado por la SFC.</w:t>
            </w:r>
          </w:p>
          <w:p w14:paraId="3CCC69D4"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w:t>
            </w:r>
          </w:p>
          <w:p w14:paraId="0904CD26"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tipo de vehículo inscrito en el módulo de registro de negocios de la SFC, por la entidad administradora del vehículo, según el numeral 3 de la parte I del título IV del capítulo VI de la CBJ de la SFC.</w:t>
            </w:r>
          </w:p>
          <w:p w14:paraId="183EEA32"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CCCCCC:</w:t>
            </w:r>
          </w:p>
          <w:p w14:paraId="2E855BEF" w14:textId="3753B55F"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código del vehículo respectivo inscrito en el módulo de registro de negocios de la SFC, por la entidad administradora del vehículo.</w:t>
            </w:r>
          </w:p>
          <w:p w14:paraId="59EC58F9"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 </w:t>
            </w:r>
          </w:p>
          <w:p w14:paraId="5B1E2BF6"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Cuando el </w:t>
            </w:r>
            <w:r w:rsidRPr="00674FDE">
              <w:rPr>
                <w:rFonts w:ascii="Verdana" w:eastAsia="Times New Roman" w:hAnsi="Verdana" w:cs="Calibri"/>
                <w:color w:val="000000"/>
                <w:sz w:val="20"/>
                <w:szCs w:val="20"/>
                <w:lang w:val="es-CO" w:eastAsia="es-CO"/>
              </w:rPr>
              <w:t xml:space="preserve">deudor es </w:t>
            </w:r>
            <w:r>
              <w:rPr>
                <w:rFonts w:ascii="Verdana" w:eastAsia="Times New Roman" w:hAnsi="Verdana" w:cs="Calibri"/>
                <w:color w:val="000000"/>
                <w:sz w:val="20"/>
                <w:szCs w:val="20"/>
                <w:lang w:val="es-CO" w:eastAsia="es-CO"/>
              </w:rPr>
              <w:t xml:space="preserve">una </w:t>
            </w:r>
            <w:r w:rsidRPr="00230A06">
              <w:rPr>
                <w:rFonts w:ascii="Verdana" w:eastAsia="Times New Roman" w:hAnsi="Verdana" w:cs="Calibri"/>
                <w:color w:val="000000"/>
                <w:sz w:val="20"/>
                <w:szCs w:val="20"/>
                <w:lang w:val="es-CO" w:eastAsia="es-CO"/>
              </w:rPr>
              <w:t>en universalidad, debe utilizarse la siguiente codificación:</w:t>
            </w:r>
          </w:p>
          <w:p w14:paraId="2F895E99" w14:textId="77777777" w:rsidR="00674FDE" w:rsidRPr="00230A06" w:rsidRDefault="00674FDE" w:rsidP="00674FDE">
            <w:pPr>
              <w:jc w:val="both"/>
              <w:rPr>
                <w:rFonts w:ascii="Verdana" w:eastAsia="Times New Roman" w:hAnsi="Verdana" w:cs="Calibri"/>
                <w:color w:val="000000"/>
                <w:sz w:val="20"/>
                <w:szCs w:val="20"/>
                <w:lang w:val="es-CO" w:eastAsia="es-CO"/>
              </w:rPr>
            </w:pPr>
          </w:p>
          <w:p w14:paraId="43FEF271"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TTTCCCTTTNNNNNNNNNNNN  </w:t>
            </w:r>
          </w:p>
          <w:p w14:paraId="0A476959" w14:textId="4CCFD9B3"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  </w:t>
            </w:r>
          </w:p>
          <w:p w14:paraId="70A13C4B"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 tres caracteres corresponden al tipo de Entidad</w:t>
            </w:r>
          </w:p>
          <w:p w14:paraId="7492F597"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CCC tres caracteres corresponden al Código de Entidad</w:t>
            </w:r>
          </w:p>
          <w:p w14:paraId="44E494DF"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 tres caracteres corresponden al tipo de vehículo</w:t>
            </w:r>
          </w:p>
          <w:p w14:paraId="103001F6" w14:textId="77777777" w:rsidR="00674FDE" w:rsidRDefault="00674FDE" w:rsidP="00674FDE">
            <w:pPr>
              <w:jc w:val="both"/>
              <w:rPr>
                <w:rFonts w:ascii="Verdana" w:eastAsia="Times New Roman" w:hAnsi="Verdana" w:cs="Calibri"/>
                <w:color w:val="000000"/>
                <w:sz w:val="20"/>
                <w:szCs w:val="20"/>
                <w:lang w:eastAsia="es-CO"/>
              </w:rPr>
            </w:pPr>
            <w:r w:rsidRPr="00230A06">
              <w:rPr>
                <w:rFonts w:ascii="Verdana" w:eastAsia="Times New Roman" w:hAnsi="Verdana" w:cs="Calibri"/>
                <w:color w:val="000000"/>
                <w:sz w:val="20"/>
                <w:szCs w:val="20"/>
                <w:lang w:val="es-CO" w:eastAsia="es-CO"/>
              </w:rPr>
              <w:t>NNNNNNNNNNNN: doce caracteres corresponden al código ANN del título valor inscrito.</w:t>
            </w:r>
          </w:p>
          <w:p w14:paraId="1C8610CC" w14:textId="77777777" w:rsidR="00674FDE" w:rsidRDefault="00674FDE" w:rsidP="00674FDE">
            <w:pPr>
              <w:jc w:val="both"/>
              <w:rPr>
                <w:rFonts w:ascii="Verdana" w:eastAsia="Times New Roman" w:hAnsi="Verdana" w:cs="Calibri"/>
                <w:color w:val="000000"/>
                <w:sz w:val="20"/>
                <w:szCs w:val="20"/>
                <w:lang w:eastAsia="es-CO"/>
              </w:rPr>
            </w:pPr>
          </w:p>
          <w:p w14:paraId="2D419332" w14:textId="487DC0A2" w:rsidR="00674FDE" w:rsidRDefault="00D07DFF" w:rsidP="00674FDE">
            <w:pPr>
              <w:jc w:val="both"/>
              <w:outlineLvl w:val="0"/>
              <w:rPr>
                <w:rFonts w:ascii="Verdana" w:hAnsi="Verdana"/>
                <w:color w:val="000000"/>
                <w:sz w:val="20"/>
                <w:szCs w:val="20"/>
              </w:rPr>
            </w:pPr>
            <w:r>
              <w:rPr>
                <w:rFonts w:ascii="Verdana" w:hAnsi="Verdana"/>
                <w:color w:val="000000"/>
                <w:sz w:val="20"/>
                <w:szCs w:val="20"/>
              </w:rPr>
              <w:t>También es o</w:t>
            </w:r>
            <w:r w:rsidR="00674FDE">
              <w:rPr>
                <w:rFonts w:ascii="Verdana" w:hAnsi="Verdana"/>
                <w:color w:val="000000"/>
                <w:sz w:val="20"/>
                <w:szCs w:val="20"/>
              </w:rPr>
              <w:t xml:space="preserve">bligatorio para el reporte de que tratan los numerales </w:t>
            </w:r>
            <w:r w:rsidR="00B80BB2">
              <w:rPr>
                <w:rFonts w:ascii="Verdana" w:hAnsi="Verdana"/>
                <w:color w:val="000000"/>
                <w:sz w:val="20"/>
                <w:szCs w:val="20"/>
              </w:rPr>
              <w:t xml:space="preserve">14 (ii), </w:t>
            </w:r>
            <w:r w:rsidR="00674FDE">
              <w:rPr>
                <w:rFonts w:ascii="Verdana" w:hAnsi="Verdana"/>
                <w:color w:val="000000"/>
                <w:sz w:val="20"/>
                <w:szCs w:val="20"/>
              </w:rPr>
              <w:t>15, 16, 17</w:t>
            </w:r>
            <w:r w:rsidR="00D9660B">
              <w:rPr>
                <w:rFonts w:ascii="Verdana" w:hAnsi="Verdana"/>
                <w:color w:val="000000"/>
                <w:sz w:val="20"/>
                <w:szCs w:val="20"/>
              </w:rPr>
              <w:t>,</w:t>
            </w:r>
            <w:r w:rsidR="00674FDE">
              <w:rPr>
                <w:rFonts w:ascii="Verdana" w:hAnsi="Verdana"/>
                <w:color w:val="000000"/>
                <w:sz w:val="20"/>
                <w:szCs w:val="20"/>
              </w:rPr>
              <w:t xml:space="preserve"> 18</w:t>
            </w:r>
            <w:r w:rsidR="00D9660B">
              <w:rPr>
                <w:rFonts w:ascii="Verdana" w:hAnsi="Verdana"/>
                <w:color w:val="000000"/>
                <w:sz w:val="20"/>
                <w:szCs w:val="20"/>
              </w:rPr>
              <w:t xml:space="preserve"> y 31</w:t>
            </w:r>
            <w:r w:rsidR="00674FDE">
              <w:rPr>
                <w:rFonts w:ascii="Verdana" w:hAnsi="Verdana"/>
                <w:color w:val="000000"/>
                <w:sz w:val="20"/>
                <w:szCs w:val="20"/>
              </w:rPr>
              <w:t xml:space="preserve"> de las </w:t>
            </w:r>
            <w:r w:rsidR="00674FDE" w:rsidRPr="00422DCE">
              <w:rPr>
                <w:rFonts w:ascii="Verdana" w:hAnsi="Verdana"/>
                <w:bCs/>
                <w:sz w:val="20"/>
                <w:szCs w:val="20"/>
              </w:rPr>
              <w:t>«</w:t>
            </w:r>
            <w:r w:rsidR="00674FDE" w:rsidRPr="00075DE0">
              <w:rPr>
                <w:rFonts w:ascii="Verdana" w:hAnsi="Verdana"/>
                <w:bCs/>
                <w:sz w:val="20"/>
                <w:szCs w:val="20"/>
              </w:rPr>
              <w:t>Re</w:t>
            </w:r>
            <w:r w:rsidR="00674FDE">
              <w:rPr>
                <w:rFonts w:ascii="Verdana" w:hAnsi="Verdana"/>
                <w:bCs/>
                <w:sz w:val="20"/>
                <w:szCs w:val="20"/>
              </w:rPr>
              <w:t>glas generales de diligenciamiento</w:t>
            </w:r>
            <w:r w:rsidR="00674FDE" w:rsidRPr="00BD40EF">
              <w:rPr>
                <w:rFonts w:ascii="Verdana" w:hAnsi="Verdana"/>
                <w:bCs/>
                <w:sz w:val="20"/>
                <w:szCs w:val="20"/>
              </w:rPr>
              <w:t>»</w:t>
            </w:r>
            <w:r w:rsidR="00674FDE">
              <w:rPr>
                <w:rFonts w:ascii="Verdana" w:hAnsi="Verdana"/>
                <w:bCs/>
                <w:sz w:val="20"/>
                <w:szCs w:val="20"/>
              </w:rPr>
              <w:t xml:space="preserve"> del presente documento.</w:t>
            </w:r>
          </w:p>
          <w:p w14:paraId="1B3AD767" w14:textId="19598ECD" w:rsidR="00674FDE" w:rsidRPr="00075DE0" w:rsidRDefault="00674FDE" w:rsidP="00674FDE">
            <w:pPr>
              <w:jc w:val="both"/>
              <w:rPr>
                <w:rFonts w:ascii="Verdana" w:eastAsia="Times New Roman" w:hAnsi="Verdana" w:cs="Calibri"/>
                <w:color w:val="000000"/>
                <w:sz w:val="20"/>
                <w:szCs w:val="20"/>
                <w:lang w:eastAsia="es-CO"/>
              </w:rPr>
            </w:pPr>
          </w:p>
        </w:tc>
      </w:tr>
      <w:tr w:rsidR="00820C58" w:rsidRPr="00075DE0" w14:paraId="0858F611" w14:textId="77777777" w:rsidTr="00EC25DF">
        <w:trPr>
          <w:trHeight w:val="1553"/>
        </w:trPr>
        <w:tc>
          <w:tcPr>
            <w:tcW w:w="1692" w:type="dxa"/>
            <w:vAlign w:val="center"/>
          </w:tcPr>
          <w:p w14:paraId="5D4D0142" w14:textId="65165D36" w:rsidR="00820C58" w:rsidRPr="00075DE0" w:rsidDel="002D291E"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lastRenderedPageBreak/>
              <w:t xml:space="preserve">Código de </w:t>
            </w:r>
            <w:r>
              <w:rPr>
                <w:rFonts w:ascii="Verdana" w:eastAsia="Times New Roman" w:hAnsi="Verdana" w:cs="Calibri"/>
                <w:sz w:val="20"/>
                <w:szCs w:val="20"/>
                <w:lang w:eastAsia="es-CO"/>
              </w:rPr>
              <w:t>a</w:t>
            </w:r>
            <w:r w:rsidRPr="00075DE0">
              <w:rPr>
                <w:rFonts w:ascii="Verdana" w:eastAsia="Times New Roman" w:hAnsi="Verdana" w:cs="Calibri"/>
                <w:sz w:val="20"/>
                <w:szCs w:val="20"/>
                <w:lang w:eastAsia="es-CO"/>
              </w:rPr>
              <w:t>tributo de crédito</w:t>
            </w:r>
          </w:p>
        </w:tc>
        <w:tc>
          <w:tcPr>
            <w:tcW w:w="3177" w:type="dxa"/>
            <w:vAlign w:val="center"/>
          </w:tcPr>
          <w:p w14:paraId="6E3621B5" w14:textId="77777777" w:rsidR="00820C58" w:rsidRPr="00075DE0" w:rsidDel="002D291E" w:rsidRDefault="00820C58" w:rsidP="00820C58">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clave_atributo</w:t>
            </w:r>
          </w:p>
        </w:tc>
        <w:tc>
          <w:tcPr>
            <w:tcW w:w="4198" w:type="dxa"/>
            <w:vAlign w:val="center"/>
          </w:tcPr>
          <w:p w14:paraId="37865DCF" w14:textId="6BCCF7B5" w:rsidR="00820C58" w:rsidRDefault="00820C58" w:rsidP="00820C58">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w:t>
            </w:r>
            <w:r>
              <w:rPr>
                <w:rFonts w:ascii="Verdana" w:eastAsia="Times New Roman" w:hAnsi="Verdana" w:cs="Calibri"/>
                <w:color w:val="000000"/>
                <w:sz w:val="20"/>
                <w:szCs w:val="20"/>
                <w:lang w:eastAsia="es-CO"/>
              </w:rPr>
              <w:t>código</w:t>
            </w:r>
            <w:r w:rsidRPr="00075DE0">
              <w:rPr>
                <w:rFonts w:ascii="Verdana" w:eastAsia="Times New Roman" w:hAnsi="Verdana" w:cs="Calibri"/>
                <w:color w:val="000000"/>
                <w:sz w:val="20"/>
                <w:szCs w:val="20"/>
                <w:lang w:eastAsia="es-CO"/>
              </w:rPr>
              <w:t xml:space="preserve"> único</w:t>
            </w:r>
            <w:r>
              <w:rPr>
                <w:rFonts w:ascii="Verdana" w:eastAsia="Times New Roman" w:hAnsi="Verdana" w:cs="Calibri"/>
                <w:color w:val="000000"/>
                <w:sz w:val="20"/>
                <w:szCs w:val="20"/>
                <w:lang w:eastAsia="es-CO"/>
              </w:rPr>
              <w:t xml:space="preserve"> asignado</w:t>
            </w:r>
            <w:r w:rsidRPr="00075DE0">
              <w:rPr>
                <w:rFonts w:ascii="Verdana" w:eastAsia="Times New Roman" w:hAnsi="Verdana" w:cs="Calibri"/>
                <w:color w:val="000000"/>
                <w:sz w:val="20"/>
                <w:szCs w:val="20"/>
                <w:lang w:eastAsia="es-CO"/>
              </w:rPr>
              <w:t xml:space="preserve"> para cada atributo</w:t>
            </w:r>
            <w:r>
              <w:rPr>
                <w:rFonts w:ascii="Verdana" w:eastAsia="Times New Roman" w:hAnsi="Verdana" w:cs="Calibri"/>
                <w:color w:val="000000"/>
                <w:sz w:val="20"/>
                <w:szCs w:val="20"/>
                <w:lang w:eastAsia="es-CO"/>
              </w:rPr>
              <w:t>, s</w:t>
            </w:r>
            <w:r w:rsidRPr="00075DE0">
              <w:rPr>
                <w:rFonts w:ascii="Verdana" w:eastAsia="Times New Roman" w:hAnsi="Verdana" w:cs="Calibri"/>
                <w:color w:val="000000"/>
                <w:sz w:val="20"/>
                <w:szCs w:val="20"/>
                <w:lang w:eastAsia="es-CO"/>
              </w:rPr>
              <w:t xml:space="preserve">egún la tabla </w:t>
            </w:r>
            <w:r w:rsidRPr="00660A2B">
              <w:rPr>
                <w:rFonts w:ascii="Verdana" w:hAnsi="Verdana"/>
                <w:bCs/>
                <w:sz w:val="20"/>
                <w:szCs w:val="20"/>
              </w:rPr>
              <w:t>«</w:t>
            </w:r>
            <w:r>
              <w:rPr>
                <w:rFonts w:ascii="Verdana" w:hAnsi="Verdana"/>
                <w:bCs/>
                <w:sz w:val="20"/>
                <w:szCs w:val="20"/>
              </w:rPr>
              <w:t>A</w:t>
            </w:r>
            <w:r w:rsidRPr="00075DE0">
              <w:rPr>
                <w:rFonts w:ascii="Verdana" w:eastAsia="Times New Roman" w:hAnsi="Verdana" w:cs="Calibri"/>
                <w:color w:val="000000"/>
                <w:sz w:val="20"/>
                <w:szCs w:val="20"/>
                <w:lang w:eastAsia="es-CO"/>
              </w:rPr>
              <w:t xml:space="preserve">tributos de </w:t>
            </w:r>
            <w:r>
              <w:rPr>
                <w:rFonts w:ascii="Verdana" w:eastAsia="Times New Roman" w:hAnsi="Verdana" w:cs="Calibri"/>
                <w:color w:val="000000"/>
                <w:sz w:val="20"/>
                <w:szCs w:val="20"/>
                <w:lang w:eastAsia="es-CO"/>
              </w:rPr>
              <w:t>crédito</w:t>
            </w:r>
            <w:r w:rsidRPr="00660A2B">
              <w:rPr>
                <w:rFonts w:ascii="Verdana" w:hAnsi="Verdana"/>
                <w:bCs/>
                <w:sz w:val="20"/>
                <w:szCs w:val="20"/>
              </w:rPr>
              <w:t>»</w:t>
            </w:r>
            <w:r>
              <w:rPr>
                <w:rFonts w:ascii="Verdana" w:hAnsi="Verdana"/>
                <w:bCs/>
                <w:sz w:val="20"/>
                <w:szCs w:val="20"/>
              </w:rPr>
              <w:t xml:space="preserve"> </w:t>
            </w:r>
            <w:r w:rsidRPr="00075DE0">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075DE0">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w:t>
            </w:r>
            <w:r>
              <w:rPr>
                <w:rFonts w:ascii="Verdana" w:eastAsia="Times New Roman" w:hAnsi="Verdana" w:cs="Calibri"/>
                <w:color w:val="000000"/>
                <w:sz w:val="20"/>
                <w:szCs w:val="20"/>
                <w:lang w:eastAsia="es-CO"/>
              </w:rPr>
              <w:t xml:space="preserve"> la sección:</w:t>
            </w:r>
          </w:p>
          <w:p w14:paraId="38C9A2CB" w14:textId="77777777" w:rsidR="00820C58" w:rsidRDefault="00820C58" w:rsidP="00820C58">
            <w:pPr>
              <w:jc w:val="both"/>
              <w:rPr>
                <w:rFonts w:ascii="Verdana" w:eastAsia="Times New Roman" w:hAnsi="Verdana" w:cs="Calibri"/>
                <w:color w:val="000000"/>
                <w:sz w:val="20"/>
                <w:szCs w:val="20"/>
                <w:lang w:eastAsia="es-CO"/>
              </w:rPr>
            </w:pPr>
          </w:p>
          <w:p w14:paraId="044BE6EE" w14:textId="77777777" w:rsidR="00820C58" w:rsidRDefault="00820C58" w:rsidP="00820C58">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Atributos de crédito</w:t>
            </w:r>
            <w:r w:rsidRPr="00B30AFB">
              <w:rPr>
                <w:rFonts w:ascii="Verdana" w:hAnsi="Verdana" w:cs="Verdana"/>
                <w:i/>
                <w:iCs/>
                <w:sz w:val="20"/>
                <w:szCs w:val="20"/>
              </w:rPr>
              <w:t xml:space="preserve">, hoja </w:t>
            </w:r>
            <w:r>
              <w:rPr>
                <w:rFonts w:ascii="Verdana" w:hAnsi="Verdana" w:cs="Verdana"/>
                <w:i/>
                <w:iCs/>
                <w:sz w:val="20"/>
                <w:szCs w:val="20"/>
              </w:rPr>
              <w:t>Atributos</w:t>
            </w:r>
          </w:p>
          <w:p w14:paraId="430865EB" w14:textId="77777777" w:rsidR="003B0973" w:rsidRDefault="003B0973" w:rsidP="00820C58">
            <w:pPr>
              <w:jc w:val="both"/>
              <w:rPr>
                <w:rFonts w:ascii="Verdana" w:hAnsi="Verdana" w:cs="Verdana"/>
                <w:i/>
                <w:iCs/>
                <w:sz w:val="20"/>
                <w:szCs w:val="20"/>
              </w:rPr>
            </w:pPr>
          </w:p>
          <w:p w14:paraId="66BC2C2A" w14:textId="1E3A0B7C" w:rsidR="00886FDC" w:rsidRDefault="00C70470" w:rsidP="00886FDC">
            <w:pPr>
              <w:jc w:val="both"/>
              <w:outlineLvl w:val="0"/>
              <w:rPr>
                <w:rFonts w:ascii="Verdana" w:hAnsi="Verdana"/>
                <w:color w:val="000000"/>
                <w:sz w:val="20"/>
                <w:szCs w:val="20"/>
              </w:rPr>
            </w:pPr>
            <w:r>
              <w:rPr>
                <w:rFonts w:ascii="Verdana" w:hAnsi="Verdana"/>
                <w:color w:val="000000"/>
                <w:sz w:val="20"/>
                <w:szCs w:val="20"/>
              </w:rPr>
              <w:t>También es o</w:t>
            </w:r>
            <w:r w:rsidR="00886FDC">
              <w:rPr>
                <w:rFonts w:ascii="Verdana" w:hAnsi="Verdana"/>
                <w:color w:val="000000"/>
                <w:sz w:val="20"/>
                <w:szCs w:val="20"/>
              </w:rPr>
              <w:t xml:space="preserve">bligatorio para el reporte de que tratan los numerales </w:t>
            </w:r>
            <w:r w:rsidR="00B80BB2">
              <w:rPr>
                <w:rFonts w:ascii="Verdana" w:hAnsi="Verdana"/>
                <w:color w:val="000000"/>
                <w:sz w:val="20"/>
                <w:szCs w:val="20"/>
              </w:rPr>
              <w:t xml:space="preserve">14 (ii), </w:t>
            </w:r>
            <w:r w:rsidR="00886FDC">
              <w:rPr>
                <w:rFonts w:ascii="Verdana" w:hAnsi="Verdana"/>
                <w:color w:val="000000"/>
                <w:sz w:val="20"/>
                <w:szCs w:val="20"/>
              </w:rPr>
              <w:t>15, 16, 17</w:t>
            </w:r>
            <w:r w:rsidR="00627C33">
              <w:rPr>
                <w:rFonts w:ascii="Verdana" w:hAnsi="Verdana"/>
                <w:color w:val="000000"/>
                <w:sz w:val="20"/>
                <w:szCs w:val="20"/>
              </w:rPr>
              <w:t>,</w:t>
            </w:r>
            <w:r w:rsidR="00482C6D">
              <w:rPr>
                <w:rFonts w:ascii="Verdana" w:hAnsi="Verdana"/>
                <w:color w:val="000000"/>
                <w:sz w:val="20"/>
                <w:szCs w:val="20"/>
              </w:rPr>
              <w:t xml:space="preserve"> </w:t>
            </w:r>
            <w:r w:rsidR="00886FDC">
              <w:rPr>
                <w:rFonts w:ascii="Verdana" w:hAnsi="Verdana"/>
                <w:color w:val="000000"/>
                <w:sz w:val="20"/>
                <w:szCs w:val="20"/>
              </w:rPr>
              <w:t>18</w:t>
            </w:r>
            <w:r w:rsidR="00627C33">
              <w:rPr>
                <w:rFonts w:ascii="Verdana" w:hAnsi="Verdana"/>
                <w:color w:val="000000"/>
                <w:sz w:val="20"/>
                <w:szCs w:val="20"/>
              </w:rPr>
              <w:t xml:space="preserve"> y 31</w:t>
            </w:r>
            <w:r w:rsidR="00886FDC">
              <w:rPr>
                <w:rFonts w:ascii="Verdana" w:hAnsi="Verdana"/>
                <w:color w:val="000000"/>
                <w:sz w:val="20"/>
                <w:szCs w:val="20"/>
              </w:rPr>
              <w:t xml:space="preserve"> de las </w:t>
            </w:r>
            <w:r w:rsidR="00886FDC" w:rsidRPr="00422DCE">
              <w:rPr>
                <w:rFonts w:ascii="Verdana" w:hAnsi="Verdana"/>
                <w:bCs/>
                <w:sz w:val="20"/>
                <w:szCs w:val="20"/>
              </w:rPr>
              <w:t>«</w:t>
            </w:r>
            <w:r w:rsidR="00886FDC" w:rsidRPr="00075DE0">
              <w:rPr>
                <w:rFonts w:ascii="Verdana" w:hAnsi="Verdana"/>
                <w:bCs/>
                <w:sz w:val="20"/>
                <w:szCs w:val="20"/>
              </w:rPr>
              <w:t>Re</w:t>
            </w:r>
            <w:r w:rsidR="00886FDC">
              <w:rPr>
                <w:rFonts w:ascii="Verdana" w:hAnsi="Verdana"/>
                <w:bCs/>
                <w:sz w:val="20"/>
                <w:szCs w:val="20"/>
              </w:rPr>
              <w:t>glas generales de diligenciamiento</w:t>
            </w:r>
            <w:r w:rsidR="00886FDC" w:rsidRPr="00BD40EF">
              <w:rPr>
                <w:rFonts w:ascii="Verdana" w:hAnsi="Verdana"/>
                <w:bCs/>
                <w:sz w:val="20"/>
                <w:szCs w:val="20"/>
              </w:rPr>
              <w:t>»</w:t>
            </w:r>
            <w:r w:rsidR="00886FDC">
              <w:rPr>
                <w:rFonts w:ascii="Verdana" w:hAnsi="Verdana"/>
                <w:bCs/>
                <w:sz w:val="20"/>
                <w:szCs w:val="20"/>
              </w:rPr>
              <w:t xml:space="preserve"> del presente documento</w:t>
            </w:r>
            <w:r w:rsidR="00627C33">
              <w:rPr>
                <w:rFonts w:ascii="Verdana" w:hAnsi="Verdana"/>
                <w:bCs/>
                <w:sz w:val="20"/>
                <w:szCs w:val="20"/>
              </w:rPr>
              <w:t>, cuando aplique</w:t>
            </w:r>
            <w:r w:rsidR="00886FDC">
              <w:rPr>
                <w:rFonts w:ascii="Verdana" w:hAnsi="Verdana"/>
                <w:bCs/>
                <w:sz w:val="20"/>
                <w:szCs w:val="20"/>
              </w:rPr>
              <w:t>.</w:t>
            </w:r>
          </w:p>
          <w:p w14:paraId="2DB809B3" w14:textId="1AD1DD6B" w:rsidR="003B0973" w:rsidRPr="00C95AD6" w:rsidDel="002D291E" w:rsidRDefault="003B0973" w:rsidP="00820C58">
            <w:pPr>
              <w:jc w:val="both"/>
              <w:rPr>
                <w:rFonts w:ascii="Verdana" w:eastAsia="Times New Roman" w:hAnsi="Verdana" w:cs="Calibri"/>
                <w:i/>
                <w:iCs/>
                <w:color w:val="000000"/>
                <w:sz w:val="20"/>
                <w:szCs w:val="20"/>
                <w:lang w:eastAsia="es-CO"/>
              </w:rPr>
            </w:pPr>
          </w:p>
        </w:tc>
      </w:tr>
      <w:tr w:rsidR="00820C58" w:rsidRPr="00075DE0" w14:paraId="02958A5E" w14:textId="77777777" w:rsidTr="00EC25DF">
        <w:trPr>
          <w:trHeight w:val="1553"/>
        </w:trPr>
        <w:tc>
          <w:tcPr>
            <w:tcW w:w="1692" w:type="dxa"/>
            <w:vAlign w:val="center"/>
          </w:tcPr>
          <w:p w14:paraId="57E49C14" w14:textId="77777777"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lastRenderedPageBreak/>
              <w:t>Valor de atributo de crédito</w:t>
            </w:r>
          </w:p>
          <w:p w14:paraId="7844840D" w14:textId="77777777" w:rsidR="00820C58" w:rsidRPr="00075DE0" w:rsidRDefault="00820C58" w:rsidP="00820C58">
            <w:pPr>
              <w:jc w:val="center"/>
              <w:rPr>
                <w:rFonts w:ascii="Verdana" w:eastAsia="Times New Roman" w:hAnsi="Verdana" w:cs="Calibri"/>
                <w:sz w:val="20"/>
                <w:szCs w:val="20"/>
                <w:lang w:eastAsia="es-CO"/>
              </w:rPr>
            </w:pPr>
          </w:p>
        </w:tc>
        <w:tc>
          <w:tcPr>
            <w:tcW w:w="3177" w:type="dxa"/>
            <w:vAlign w:val="center"/>
          </w:tcPr>
          <w:p w14:paraId="778AF04A" w14:textId="77777777" w:rsidR="00820C58" w:rsidRPr="00075DE0" w:rsidDel="002D291E" w:rsidRDefault="00820C58" w:rsidP="00820C58">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valor_atributo</w:t>
            </w:r>
          </w:p>
        </w:tc>
        <w:tc>
          <w:tcPr>
            <w:tcW w:w="4198" w:type="dxa"/>
            <w:vAlign w:val="center"/>
          </w:tcPr>
          <w:p w14:paraId="376DEA61" w14:textId="33DA97ED" w:rsidR="00820C58" w:rsidRDefault="00820C58" w:rsidP="00820C58">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asociado a cada atributo, según </w:t>
            </w:r>
            <w:r>
              <w:rPr>
                <w:rFonts w:ascii="Verdana" w:eastAsia="Times New Roman" w:hAnsi="Verdana" w:cs="Calibri"/>
                <w:color w:val="000000"/>
                <w:sz w:val="20"/>
                <w:szCs w:val="20"/>
                <w:lang w:eastAsia="es-CO"/>
              </w:rPr>
              <w:t xml:space="preserve">las </w:t>
            </w:r>
            <w:r w:rsidRPr="00075DE0">
              <w:rPr>
                <w:rFonts w:ascii="Verdana" w:eastAsia="Times New Roman" w:hAnsi="Verdana" w:cs="Calibri"/>
                <w:color w:val="000000"/>
                <w:sz w:val="20"/>
                <w:szCs w:val="20"/>
                <w:lang w:eastAsia="es-CO"/>
              </w:rPr>
              <w:t xml:space="preserve">instrucciones de la </w:t>
            </w:r>
            <w:r>
              <w:rPr>
                <w:rFonts w:ascii="Verdana" w:eastAsia="Times New Roman" w:hAnsi="Verdana" w:cs="Calibri"/>
                <w:color w:val="000000"/>
                <w:sz w:val="20"/>
                <w:szCs w:val="20"/>
                <w:lang w:eastAsia="es-CO"/>
              </w:rPr>
              <w:t>t</w:t>
            </w:r>
            <w:r w:rsidRPr="00075DE0">
              <w:rPr>
                <w:rFonts w:ascii="Verdana" w:eastAsia="Times New Roman" w:hAnsi="Verdana" w:cs="Calibri"/>
                <w:color w:val="000000"/>
                <w:sz w:val="20"/>
                <w:szCs w:val="20"/>
                <w:lang w:eastAsia="es-CO"/>
              </w:rPr>
              <w:t xml:space="preserve">abla </w:t>
            </w:r>
            <w:r w:rsidRPr="00660A2B">
              <w:rPr>
                <w:rFonts w:ascii="Verdana" w:hAnsi="Verdana"/>
                <w:bCs/>
                <w:sz w:val="20"/>
                <w:szCs w:val="20"/>
              </w:rPr>
              <w:t>«</w:t>
            </w:r>
            <w:r w:rsidRPr="00075DE0">
              <w:rPr>
                <w:rFonts w:ascii="Verdana" w:eastAsia="Times New Roman" w:hAnsi="Verdana" w:cs="Calibri"/>
                <w:color w:val="000000"/>
                <w:sz w:val="20"/>
                <w:szCs w:val="20"/>
                <w:lang w:eastAsia="es-CO"/>
              </w:rPr>
              <w:t xml:space="preserve">Atributos </w:t>
            </w:r>
            <w:r>
              <w:rPr>
                <w:rFonts w:ascii="Verdana" w:eastAsia="Times New Roman" w:hAnsi="Verdana" w:cs="Calibri"/>
                <w:color w:val="000000"/>
                <w:sz w:val="20"/>
                <w:szCs w:val="20"/>
                <w:lang w:eastAsia="es-CO"/>
              </w:rPr>
              <w:t>Crédito</w:t>
            </w:r>
            <w:r w:rsidRPr="00660A2B">
              <w:rPr>
                <w:rFonts w:ascii="Verdana" w:hAnsi="Verdana"/>
                <w:bCs/>
                <w:sz w:val="20"/>
                <w:szCs w:val="20"/>
              </w:rPr>
              <w:t>»</w:t>
            </w:r>
            <w:r>
              <w:rPr>
                <w:rFonts w:ascii="Verdana" w:hAnsi="Verdana"/>
                <w:bCs/>
                <w:sz w:val="20"/>
                <w:szCs w:val="20"/>
              </w:rPr>
              <w:t xml:space="preserve"> </w:t>
            </w:r>
            <w:r w:rsidRPr="00075DE0">
              <w:rPr>
                <w:rFonts w:ascii="Verdana" w:eastAsia="Times New Roman" w:hAnsi="Verdana" w:cs="Calibri"/>
                <w:color w:val="000000"/>
                <w:sz w:val="20"/>
                <w:szCs w:val="20"/>
                <w:lang w:eastAsia="es-CO"/>
              </w:rPr>
              <w:t xml:space="preserve">publicada </w:t>
            </w:r>
            <w:r>
              <w:rPr>
                <w:rFonts w:ascii="Verdana" w:eastAsia="Times New Roman" w:hAnsi="Verdana" w:cs="Calibri"/>
                <w:color w:val="000000"/>
                <w:sz w:val="20"/>
                <w:szCs w:val="20"/>
                <w:lang w:eastAsia="es-CO"/>
              </w:rPr>
              <w:t xml:space="preserve">en </w:t>
            </w:r>
            <w:r w:rsidRPr="00075DE0">
              <w:rPr>
                <w:rFonts w:ascii="Verdana" w:eastAsia="Times New Roman" w:hAnsi="Verdana" w:cs="Calibri"/>
                <w:color w:val="000000"/>
                <w:sz w:val="20"/>
                <w:szCs w:val="20"/>
                <w:lang w:eastAsia="es-CO"/>
              </w:rPr>
              <w:t>la página de la SFC</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w:t>
            </w:r>
            <w:r>
              <w:rPr>
                <w:rFonts w:ascii="Verdana" w:eastAsia="Times New Roman" w:hAnsi="Verdana" w:cs="Calibri"/>
                <w:color w:val="000000"/>
                <w:sz w:val="20"/>
                <w:szCs w:val="20"/>
                <w:lang w:eastAsia="es-CO"/>
              </w:rPr>
              <w:t xml:space="preserve"> la sección:</w:t>
            </w:r>
          </w:p>
          <w:p w14:paraId="0EC5659B" w14:textId="77777777" w:rsidR="00820C58" w:rsidRDefault="00820C58" w:rsidP="00820C58">
            <w:pPr>
              <w:jc w:val="both"/>
              <w:rPr>
                <w:rFonts w:ascii="Verdana" w:eastAsia="Times New Roman" w:hAnsi="Verdana" w:cs="Calibri"/>
                <w:color w:val="000000"/>
                <w:sz w:val="20"/>
                <w:szCs w:val="20"/>
                <w:lang w:eastAsia="es-CO"/>
              </w:rPr>
            </w:pPr>
          </w:p>
          <w:p w14:paraId="60C92B9C" w14:textId="54580DC0" w:rsidR="00820C58" w:rsidRDefault="00820C58" w:rsidP="00820C58">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Atributos de crédito</w:t>
            </w:r>
            <w:r w:rsidR="00D500C2">
              <w:rPr>
                <w:rFonts w:ascii="Verdana" w:hAnsi="Verdana" w:cs="Verdana"/>
                <w:i/>
                <w:iCs/>
                <w:sz w:val="20"/>
                <w:szCs w:val="20"/>
              </w:rPr>
              <w:t>, hoja Atributos.</w:t>
            </w:r>
          </w:p>
          <w:p w14:paraId="338205FA" w14:textId="77777777" w:rsidR="003B0973" w:rsidRDefault="003B0973" w:rsidP="00820C58">
            <w:pPr>
              <w:jc w:val="both"/>
              <w:rPr>
                <w:rFonts w:ascii="Verdana" w:hAnsi="Verdana" w:cs="Verdana"/>
                <w:i/>
                <w:iCs/>
                <w:sz w:val="20"/>
                <w:szCs w:val="20"/>
              </w:rPr>
            </w:pPr>
          </w:p>
          <w:p w14:paraId="617FF5B0" w14:textId="363FF1DE" w:rsidR="00886FDC" w:rsidRDefault="00C70470" w:rsidP="00886FDC">
            <w:pPr>
              <w:jc w:val="both"/>
              <w:outlineLvl w:val="0"/>
              <w:rPr>
                <w:rFonts w:ascii="Verdana" w:hAnsi="Verdana"/>
                <w:color w:val="000000"/>
                <w:sz w:val="20"/>
                <w:szCs w:val="20"/>
              </w:rPr>
            </w:pPr>
            <w:r>
              <w:rPr>
                <w:rFonts w:ascii="Verdana" w:hAnsi="Verdana"/>
                <w:color w:val="000000"/>
                <w:sz w:val="20"/>
                <w:szCs w:val="20"/>
              </w:rPr>
              <w:t>También es o</w:t>
            </w:r>
            <w:r w:rsidR="00886FDC">
              <w:rPr>
                <w:rFonts w:ascii="Verdana" w:hAnsi="Verdana"/>
                <w:color w:val="000000"/>
                <w:sz w:val="20"/>
                <w:szCs w:val="20"/>
              </w:rPr>
              <w:t xml:space="preserve">bligatorio para el reporte de que tratan los numerales </w:t>
            </w:r>
            <w:r w:rsidR="00B80BB2">
              <w:rPr>
                <w:rFonts w:ascii="Verdana" w:hAnsi="Verdana"/>
                <w:color w:val="000000"/>
                <w:sz w:val="20"/>
                <w:szCs w:val="20"/>
              </w:rPr>
              <w:t xml:space="preserve">14 (ii), </w:t>
            </w:r>
            <w:r w:rsidR="00886FDC">
              <w:rPr>
                <w:rFonts w:ascii="Verdana" w:hAnsi="Verdana"/>
                <w:color w:val="000000"/>
                <w:sz w:val="20"/>
                <w:szCs w:val="20"/>
              </w:rPr>
              <w:t>15, 16, 17</w:t>
            </w:r>
            <w:r w:rsidR="008944CC">
              <w:rPr>
                <w:rFonts w:ascii="Verdana" w:hAnsi="Verdana"/>
                <w:color w:val="000000"/>
                <w:sz w:val="20"/>
                <w:szCs w:val="20"/>
              </w:rPr>
              <w:t>,</w:t>
            </w:r>
            <w:r w:rsidR="00482C6D">
              <w:rPr>
                <w:rFonts w:ascii="Verdana" w:hAnsi="Verdana"/>
                <w:color w:val="000000"/>
                <w:sz w:val="20"/>
                <w:szCs w:val="20"/>
              </w:rPr>
              <w:t xml:space="preserve"> </w:t>
            </w:r>
            <w:r w:rsidR="00886FDC">
              <w:rPr>
                <w:rFonts w:ascii="Verdana" w:hAnsi="Verdana"/>
                <w:color w:val="000000"/>
                <w:sz w:val="20"/>
                <w:szCs w:val="20"/>
              </w:rPr>
              <w:t>18</w:t>
            </w:r>
            <w:r w:rsidR="008944CC">
              <w:rPr>
                <w:rFonts w:ascii="Verdana" w:hAnsi="Verdana"/>
                <w:color w:val="000000"/>
                <w:sz w:val="20"/>
                <w:szCs w:val="20"/>
              </w:rPr>
              <w:t xml:space="preserve"> y 31</w:t>
            </w:r>
            <w:r w:rsidR="00886FDC">
              <w:rPr>
                <w:rFonts w:ascii="Verdana" w:hAnsi="Verdana"/>
                <w:color w:val="000000"/>
                <w:sz w:val="20"/>
                <w:szCs w:val="20"/>
              </w:rPr>
              <w:t xml:space="preserve"> de las </w:t>
            </w:r>
            <w:r w:rsidR="00886FDC" w:rsidRPr="00422DCE">
              <w:rPr>
                <w:rFonts w:ascii="Verdana" w:hAnsi="Verdana"/>
                <w:bCs/>
                <w:sz w:val="20"/>
                <w:szCs w:val="20"/>
              </w:rPr>
              <w:t>«</w:t>
            </w:r>
            <w:r w:rsidR="00886FDC" w:rsidRPr="00075DE0">
              <w:rPr>
                <w:rFonts w:ascii="Verdana" w:hAnsi="Verdana"/>
                <w:bCs/>
                <w:sz w:val="20"/>
                <w:szCs w:val="20"/>
              </w:rPr>
              <w:t>Re</w:t>
            </w:r>
            <w:r w:rsidR="00886FDC">
              <w:rPr>
                <w:rFonts w:ascii="Verdana" w:hAnsi="Verdana"/>
                <w:bCs/>
                <w:sz w:val="20"/>
                <w:szCs w:val="20"/>
              </w:rPr>
              <w:t>glas generales de diligenciamiento</w:t>
            </w:r>
            <w:r w:rsidR="00886FDC" w:rsidRPr="00BD40EF">
              <w:rPr>
                <w:rFonts w:ascii="Verdana" w:hAnsi="Verdana"/>
                <w:bCs/>
                <w:sz w:val="20"/>
                <w:szCs w:val="20"/>
              </w:rPr>
              <w:t>»</w:t>
            </w:r>
            <w:r w:rsidR="00886FDC">
              <w:rPr>
                <w:rFonts w:ascii="Verdana" w:hAnsi="Verdana"/>
                <w:bCs/>
                <w:sz w:val="20"/>
                <w:szCs w:val="20"/>
              </w:rPr>
              <w:t xml:space="preserve"> del presente documento</w:t>
            </w:r>
            <w:r w:rsidR="008944CC">
              <w:rPr>
                <w:rFonts w:ascii="Verdana" w:hAnsi="Verdana"/>
                <w:bCs/>
                <w:sz w:val="20"/>
                <w:szCs w:val="20"/>
              </w:rPr>
              <w:t>, cuando aplique</w:t>
            </w:r>
            <w:r w:rsidR="00886FDC">
              <w:rPr>
                <w:rFonts w:ascii="Verdana" w:hAnsi="Verdana"/>
                <w:bCs/>
                <w:sz w:val="20"/>
                <w:szCs w:val="20"/>
              </w:rPr>
              <w:t>.</w:t>
            </w:r>
          </w:p>
          <w:p w14:paraId="2831339B" w14:textId="26B63E8C" w:rsidR="003B0973" w:rsidRPr="00C95AD6" w:rsidDel="002D291E" w:rsidRDefault="003B0973" w:rsidP="00820C58">
            <w:pPr>
              <w:jc w:val="both"/>
              <w:rPr>
                <w:rFonts w:ascii="Verdana" w:eastAsia="Times New Roman" w:hAnsi="Verdana" w:cs="Calibri"/>
                <w:i/>
                <w:iCs/>
                <w:color w:val="000000"/>
                <w:sz w:val="20"/>
                <w:szCs w:val="20"/>
                <w:lang w:eastAsia="es-CO"/>
              </w:rPr>
            </w:pPr>
          </w:p>
        </w:tc>
      </w:tr>
    </w:tbl>
    <w:p w14:paraId="67726802" w14:textId="77777777" w:rsidR="00AB3210" w:rsidRDefault="00AB3210" w:rsidP="00CF627D">
      <w:pPr>
        <w:jc w:val="both"/>
        <w:rPr>
          <w:rFonts w:ascii="Verdana" w:hAnsi="Verdana"/>
          <w:b/>
          <w:sz w:val="20"/>
          <w:szCs w:val="20"/>
        </w:rPr>
      </w:pPr>
    </w:p>
    <w:p w14:paraId="76594717" w14:textId="77777777" w:rsidR="00AB3210" w:rsidRDefault="00AB3210" w:rsidP="00AB3210">
      <w:pPr>
        <w:jc w:val="both"/>
        <w:rPr>
          <w:rFonts w:ascii="Verdana" w:hAnsi="Verdana"/>
          <w:b/>
          <w:sz w:val="20"/>
          <w:szCs w:val="20"/>
        </w:rPr>
      </w:pPr>
    </w:p>
    <w:p w14:paraId="560CC3AF" w14:textId="77777777" w:rsidR="00663431" w:rsidRDefault="00663431" w:rsidP="00AB3210">
      <w:pPr>
        <w:jc w:val="both"/>
        <w:rPr>
          <w:rFonts w:ascii="Verdana" w:hAnsi="Verdana"/>
          <w:b/>
          <w:sz w:val="20"/>
          <w:szCs w:val="20"/>
        </w:rPr>
      </w:pPr>
    </w:p>
    <w:p w14:paraId="5C019120" w14:textId="4CA3DBD2" w:rsidR="006C31CC" w:rsidRDefault="00734867" w:rsidP="00A83864">
      <w:pPr>
        <w:spacing w:after="160" w:line="259" w:lineRule="auto"/>
        <w:rPr>
          <w:rFonts w:ascii="Verdana" w:hAnsi="Verdana"/>
          <w:b/>
          <w:sz w:val="20"/>
          <w:szCs w:val="20"/>
        </w:rPr>
      </w:pPr>
      <w:r>
        <w:rPr>
          <w:rFonts w:ascii="Verdana" w:hAnsi="Verdana"/>
          <w:b/>
          <w:sz w:val="20"/>
          <w:szCs w:val="20"/>
        </w:rPr>
        <w:br w:type="page"/>
      </w:r>
    </w:p>
    <w:p w14:paraId="5A092607" w14:textId="65576404" w:rsidR="00AB3210" w:rsidRPr="00081E51" w:rsidRDefault="00AB3210" w:rsidP="00AB3210">
      <w:pPr>
        <w:jc w:val="center"/>
        <w:outlineLvl w:val="0"/>
        <w:rPr>
          <w:rFonts w:ascii="Verdana" w:hAnsi="Verdana"/>
          <w:b/>
          <w:sz w:val="20"/>
          <w:szCs w:val="20"/>
        </w:rPr>
      </w:pPr>
      <w:r w:rsidRPr="00081E51">
        <w:rPr>
          <w:rFonts w:ascii="Verdana" w:hAnsi="Verdana"/>
          <w:b/>
          <w:sz w:val="20"/>
          <w:szCs w:val="20"/>
        </w:rPr>
        <w:lastRenderedPageBreak/>
        <w:t xml:space="preserve">MURIC-001-003 </w:t>
      </w:r>
    </w:p>
    <w:p w14:paraId="2C04D14E" w14:textId="04AF0C42" w:rsidR="00AB3210" w:rsidRDefault="00A17CE1" w:rsidP="00AB3210">
      <w:pPr>
        <w:jc w:val="center"/>
        <w:outlineLvl w:val="0"/>
        <w:rPr>
          <w:rFonts w:ascii="Verdana" w:hAnsi="Verdana"/>
          <w:b/>
          <w:sz w:val="20"/>
          <w:szCs w:val="20"/>
        </w:rPr>
      </w:pPr>
      <w:r w:rsidRPr="00081E51">
        <w:rPr>
          <w:rFonts w:ascii="Verdana" w:hAnsi="Verdana"/>
          <w:b/>
          <w:sz w:val="20"/>
          <w:szCs w:val="20"/>
        </w:rPr>
        <w:t>M</w:t>
      </w:r>
      <w:r w:rsidR="00EB0946" w:rsidRPr="00081E51">
        <w:rPr>
          <w:rFonts w:ascii="Verdana" w:hAnsi="Verdana"/>
          <w:b/>
          <w:sz w:val="20"/>
          <w:szCs w:val="20"/>
        </w:rPr>
        <w:t>ovimientos de cartera</w:t>
      </w:r>
    </w:p>
    <w:p w14:paraId="3DE9EF72" w14:textId="56C96A23" w:rsidR="00CF627D" w:rsidRPr="00075DE0" w:rsidRDefault="00CF627D" w:rsidP="00CF627D">
      <w:pPr>
        <w:jc w:val="both"/>
        <w:rPr>
          <w:rFonts w:ascii="Verdana" w:hAnsi="Verdana" w:cs="Arial"/>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5"/>
        <w:gridCol w:w="3147"/>
        <w:gridCol w:w="4215"/>
      </w:tblGrid>
      <w:tr w:rsidR="00EB0946" w:rsidRPr="00075DE0" w14:paraId="1E96F094" w14:textId="77777777" w:rsidTr="00043CF1">
        <w:trPr>
          <w:trHeight w:val="550"/>
          <w:tblHeader/>
        </w:trPr>
        <w:tc>
          <w:tcPr>
            <w:tcW w:w="1705" w:type="dxa"/>
            <w:vAlign w:val="center"/>
            <w:hideMark/>
          </w:tcPr>
          <w:p w14:paraId="5293C434"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NOMBRE CAMPO</w:t>
            </w:r>
          </w:p>
        </w:tc>
        <w:tc>
          <w:tcPr>
            <w:tcW w:w="3147" w:type="dxa"/>
            <w:vAlign w:val="center"/>
          </w:tcPr>
          <w:p w14:paraId="09DADCEE"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VARIABLE</w:t>
            </w:r>
          </w:p>
        </w:tc>
        <w:tc>
          <w:tcPr>
            <w:tcW w:w="4215" w:type="dxa"/>
            <w:vAlign w:val="center"/>
            <w:hideMark/>
          </w:tcPr>
          <w:p w14:paraId="2C5A485D" w14:textId="77777777" w:rsidR="00CF627D" w:rsidRPr="00075DE0" w:rsidRDefault="00CF627D" w:rsidP="00BC1503">
            <w:pPr>
              <w:jc w:val="center"/>
              <w:rPr>
                <w:rFonts w:ascii="Verdana" w:eastAsia="Times New Roman" w:hAnsi="Verdana" w:cs="Calibri"/>
                <w:b/>
                <w:bCs/>
                <w:color w:val="000000"/>
                <w:sz w:val="20"/>
                <w:szCs w:val="20"/>
                <w:lang w:eastAsia="es-CO"/>
              </w:rPr>
            </w:pPr>
            <w:r w:rsidRPr="00075DE0">
              <w:rPr>
                <w:rFonts w:ascii="Verdana" w:eastAsia="Times New Roman" w:hAnsi="Verdana" w:cs="Calibri"/>
                <w:b/>
                <w:bCs/>
                <w:color w:val="000000"/>
                <w:sz w:val="20"/>
                <w:szCs w:val="20"/>
                <w:lang w:eastAsia="es-CO"/>
              </w:rPr>
              <w:t>DESCRIPCIÓN</w:t>
            </w:r>
          </w:p>
        </w:tc>
      </w:tr>
      <w:tr w:rsidR="00820C58" w:rsidRPr="00075DE0" w14:paraId="19E01EB6" w14:textId="77777777" w:rsidTr="00043CF1">
        <w:trPr>
          <w:trHeight w:val="793"/>
        </w:trPr>
        <w:tc>
          <w:tcPr>
            <w:tcW w:w="1705" w:type="dxa"/>
            <w:vAlign w:val="center"/>
            <w:hideMark/>
          </w:tcPr>
          <w:p w14:paraId="1F981A9C" w14:textId="1EE6F03A" w:rsidR="00820C58" w:rsidRPr="00075DE0" w:rsidRDefault="00820C58" w:rsidP="00820C58">
            <w:pPr>
              <w:jc w:val="center"/>
              <w:rPr>
                <w:rFonts w:ascii="Verdana" w:eastAsia="Times New Roman" w:hAnsi="Verdana" w:cs="Calibri"/>
                <w:sz w:val="20"/>
                <w:szCs w:val="20"/>
                <w:lang w:eastAsia="es-CO"/>
              </w:rPr>
            </w:pPr>
            <w:r w:rsidRPr="00075DE0">
              <w:rPr>
                <w:rFonts w:ascii="Verdana" w:eastAsia="Times New Roman" w:hAnsi="Verdana" w:cs="Calibri"/>
                <w:sz w:val="20"/>
                <w:szCs w:val="20"/>
                <w:lang w:eastAsia="es-CO"/>
              </w:rPr>
              <w:t xml:space="preserve">Identificación del </w:t>
            </w:r>
            <w:r>
              <w:rPr>
                <w:rFonts w:ascii="Verdana" w:eastAsia="Times New Roman" w:hAnsi="Verdana" w:cs="Calibri"/>
                <w:sz w:val="20"/>
                <w:szCs w:val="20"/>
                <w:lang w:eastAsia="es-CO"/>
              </w:rPr>
              <w:t>c</w:t>
            </w:r>
            <w:r w:rsidRPr="00075DE0">
              <w:rPr>
                <w:rFonts w:ascii="Verdana" w:eastAsia="Times New Roman" w:hAnsi="Verdana" w:cs="Calibri"/>
                <w:sz w:val="20"/>
                <w:szCs w:val="20"/>
                <w:lang w:eastAsia="es-CO"/>
              </w:rPr>
              <w:t>rédito</w:t>
            </w:r>
          </w:p>
        </w:tc>
        <w:tc>
          <w:tcPr>
            <w:tcW w:w="3147" w:type="dxa"/>
            <w:vAlign w:val="center"/>
          </w:tcPr>
          <w:p w14:paraId="549890E3" w14:textId="4261C7E7" w:rsidR="00820C58" w:rsidRPr="00075DE0" w:rsidRDefault="00820C58" w:rsidP="00820C58">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identificacion_credito_entidad</w:t>
            </w:r>
          </w:p>
        </w:tc>
        <w:tc>
          <w:tcPr>
            <w:tcW w:w="4215" w:type="dxa"/>
            <w:vAlign w:val="center"/>
          </w:tcPr>
          <w:p w14:paraId="66035C81" w14:textId="77777777" w:rsidR="00820C58" w:rsidRPr="00663431" w:rsidRDefault="00820C58" w:rsidP="00820C58">
            <w:pPr>
              <w:jc w:val="both"/>
              <w:rPr>
                <w:rFonts w:ascii="Verdana" w:eastAsia="Times New Roman" w:hAnsi="Verdana" w:cs="Calibri"/>
                <w:b/>
                <w:bCs/>
                <w:color w:val="000000"/>
                <w:sz w:val="20"/>
                <w:szCs w:val="20"/>
                <w:lang w:eastAsia="es-CO"/>
              </w:rPr>
            </w:pPr>
            <w:r w:rsidRPr="00663431">
              <w:rPr>
                <w:rFonts w:ascii="Verdana" w:eastAsia="Times New Roman" w:hAnsi="Verdana" w:cs="Calibri"/>
                <w:color w:val="000000"/>
                <w:sz w:val="20"/>
                <w:szCs w:val="20"/>
                <w:lang w:eastAsia="es-CO"/>
              </w:rPr>
              <w:t>Registre el código de identificación del crédito asignado en las bases de datos de la entidad. Este código debe ser individual por</w:t>
            </w:r>
            <w:r>
              <w:rPr>
                <w:rFonts w:ascii="Verdana" w:eastAsia="Times New Roman" w:hAnsi="Verdana" w:cs="Calibri"/>
                <w:color w:val="000000"/>
                <w:sz w:val="20"/>
                <w:szCs w:val="20"/>
                <w:lang w:eastAsia="es-CO"/>
              </w:rPr>
              <w:t xml:space="preserve"> cada</w:t>
            </w:r>
            <w:r w:rsidRPr="00663431">
              <w:rPr>
                <w:rFonts w:ascii="Verdana" w:eastAsia="Times New Roman" w:hAnsi="Verdana" w:cs="Calibri"/>
                <w:color w:val="000000"/>
                <w:sz w:val="20"/>
                <w:szCs w:val="20"/>
                <w:lang w:eastAsia="es-CO"/>
              </w:rPr>
              <w:t xml:space="preserve"> operación reportada.</w:t>
            </w:r>
          </w:p>
          <w:p w14:paraId="2A00AD23" w14:textId="77777777" w:rsidR="00820C58" w:rsidRPr="00663431" w:rsidRDefault="00820C58" w:rsidP="00820C58">
            <w:pPr>
              <w:jc w:val="both"/>
              <w:outlineLvl w:val="0"/>
              <w:rPr>
                <w:rFonts w:ascii="Verdana" w:hAnsi="Verdana"/>
                <w:bCs/>
                <w:sz w:val="20"/>
                <w:szCs w:val="20"/>
              </w:rPr>
            </w:pPr>
          </w:p>
          <w:p w14:paraId="76FEDD3F" w14:textId="77777777" w:rsidR="00820C58" w:rsidRPr="00663431" w:rsidRDefault="00820C58" w:rsidP="00820C58">
            <w:pPr>
              <w:jc w:val="both"/>
              <w:outlineLvl w:val="0"/>
              <w:rPr>
                <w:rFonts w:ascii="Verdana" w:hAnsi="Verdana"/>
                <w:bCs/>
                <w:sz w:val="20"/>
                <w:szCs w:val="20"/>
              </w:rPr>
            </w:pPr>
            <w:r w:rsidRPr="00663431">
              <w:rPr>
                <w:rFonts w:ascii="Verdana" w:hAnsi="Verdana"/>
                <w:bCs/>
                <w:sz w:val="20"/>
                <w:szCs w:val="20"/>
              </w:rPr>
              <w:t xml:space="preserve">Si existe un código de identificación de crédito duplicado dentro de los sistemas de la entidad, se debe agregar un prefijo al código de identificación de la operación, a partir del código del producto respectivo según la codificación publicada en la página web de la SFC en la </w:t>
            </w:r>
            <w:r w:rsidRPr="00663431">
              <w:rPr>
                <w:rFonts w:ascii="Verdana" w:eastAsia="Times New Roman" w:hAnsi="Verdana" w:cs="Calibri"/>
                <w:color w:val="000000"/>
                <w:sz w:val="20"/>
                <w:szCs w:val="20"/>
                <w:lang w:eastAsia="es-CO"/>
              </w:rPr>
              <w:t xml:space="preserve">sección: </w:t>
            </w:r>
          </w:p>
          <w:p w14:paraId="2A7AA94F" w14:textId="77777777" w:rsidR="00820C58" w:rsidRPr="00663431" w:rsidRDefault="00820C58" w:rsidP="00820C58">
            <w:pPr>
              <w:jc w:val="both"/>
              <w:rPr>
                <w:rFonts w:ascii="Verdana" w:eastAsia="Times New Roman" w:hAnsi="Verdana" w:cs="Calibri"/>
                <w:color w:val="000000"/>
                <w:sz w:val="20"/>
                <w:szCs w:val="20"/>
                <w:lang w:eastAsia="es-CO"/>
              </w:rPr>
            </w:pPr>
          </w:p>
          <w:p w14:paraId="3EBDF312" w14:textId="185D77C1" w:rsidR="00820C58" w:rsidRPr="009C2E0F" w:rsidRDefault="00820C58" w:rsidP="00820C58">
            <w:pPr>
              <w:jc w:val="both"/>
              <w:outlineLvl w:val="0"/>
              <w:rPr>
                <w:rFonts w:ascii="Verdana" w:eastAsia="Times New Roman" w:hAnsi="Verdana" w:cs="Calibri"/>
                <w:i/>
                <w:iCs/>
                <w:color w:val="000000"/>
                <w:sz w:val="20"/>
                <w:szCs w:val="20"/>
                <w:lang w:val="es-CO" w:eastAsia="es-CO"/>
              </w:rPr>
            </w:pPr>
            <w:r>
              <w:rPr>
                <w:rFonts w:ascii="Verdana" w:eastAsia="Times New Roman" w:hAnsi="Verdana" w:cs="Calibri"/>
                <w:i/>
                <w:iCs/>
                <w:color w:val="000000"/>
                <w:sz w:val="20"/>
                <w:szCs w:val="20"/>
                <w:lang w:eastAsia="es-CO"/>
              </w:rPr>
              <w:t xml:space="preserve">Inicio / </w:t>
            </w:r>
            <w:r w:rsidR="004173BD">
              <w:rPr>
                <w:rFonts w:ascii="Verdana" w:eastAsia="Times New Roman" w:hAnsi="Verdana" w:cs="Calibri"/>
                <w:i/>
                <w:iCs/>
                <w:color w:val="000000"/>
                <w:sz w:val="20"/>
                <w:szCs w:val="20"/>
                <w:lang w:eastAsia="es-CO"/>
              </w:rPr>
              <w:t xml:space="preserve">Entidades vigiladas y controladas </w:t>
            </w:r>
            <w:r w:rsidRPr="009C2E0F">
              <w:rPr>
                <w:rFonts w:ascii="Verdana" w:eastAsia="Times New Roman" w:hAnsi="Verdana" w:cs="Calibri"/>
                <w:i/>
                <w:iCs/>
                <w:color w:val="000000"/>
                <w:sz w:val="20"/>
                <w:szCs w:val="20"/>
                <w:lang w:eastAsia="es-CO"/>
              </w:rPr>
              <w:t>/ Interés del Vigilado / Reportes / Índice de reportes de información a la Superintendencia Financiera / Tablas anexas para el reporte de información / Tabla tasas activas de crédito, hoja Productos de crédito</w:t>
            </w:r>
          </w:p>
          <w:p w14:paraId="1822DC4C" w14:textId="77777777" w:rsidR="00820C58" w:rsidRDefault="00820C58" w:rsidP="00820C58">
            <w:pPr>
              <w:jc w:val="both"/>
              <w:outlineLvl w:val="0"/>
              <w:rPr>
                <w:rFonts w:ascii="Verdana" w:hAnsi="Verdana"/>
                <w:bCs/>
                <w:sz w:val="20"/>
                <w:szCs w:val="20"/>
              </w:rPr>
            </w:pPr>
          </w:p>
          <w:p w14:paraId="516B6CA0" w14:textId="1D98CEDE" w:rsidR="00820C58" w:rsidRDefault="00820C58" w:rsidP="00820C58">
            <w:pPr>
              <w:jc w:val="both"/>
              <w:rPr>
                <w:rFonts w:ascii="Verdana" w:hAnsi="Verdana" w:cs="Verdana"/>
                <w:i/>
                <w:iCs/>
                <w:sz w:val="20"/>
                <w:szCs w:val="20"/>
              </w:rPr>
            </w:pPr>
            <w:r>
              <w:rPr>
                <w:rFonts w:ascii="Verdana" w:hAnsi="Verdana"/>
                <w:bCs/>
                <w:sz w:val="20"/>
                <w:szCs w:val="20"/>
              </w:rPr>
              <w:t xml:space="preserve">En los casos de los créditos que admiten exposiciones en más de una moneda bajo un mismo código de identificación dentro de los sistemas de la entidad, se </w:t>
            </w:r>
            <w:r w:rsidRPr="00663431">
              <w:rPr>
                <w:rFonts w:ascii="Verdana" w:hAnsi="Verdana"/>
                <w:bCs/>
                <w:sz w:val="20"/>
                <w:szCs w:val="20"/>
              </w:rPr>
              <w:t xml:space="preserve">debe agregar </w:t>
            </w:r>
            <w:r>
              <w:rPr>
                <w:rFonts w:ascii="Verdana" w:hAnsi="Verdana"/>
                <w:bCs/>
                <w:sz w:val="20"/>
                <w:szCs w:val="20"/>
              </w:rPr>
              <w:t>el código de la moneda de cada exposición al final de</w:t>
            </w:r>
            <w:r w:rsidRPr="00663431">
              <w:rPr>
                <w:rFonts w:ascii="Verdana" w:hAnsi="Verdana"/>
                <w:bCs/>
                <w:sz w:val="20"/>
                <w:szCs w:val="20"/>
              </w:rPr>
              <w:t xml:space="preserve">l código de identificación </w:t>
            </w:r>
            <w:r>
              <w:rPr>
                <w:rFonts w:ascii="Verdana" w:hAnsi="Verdana"/>
                <w:bCs/>
                <w:sz w:val="20"/>
                <w:szCs w:val="20"/>
              </w:rPr>
              <w:t>del crédito, de forma que se pueda identificar que las distintas exposiciones por moneda corresponden a la misma operación de crédito. Para incluir el código de la moneda se debe</w:t>
            </w:r>
            <w:r w:rsidR="003B0B1A">
              <w:rPr>
                <w:rFonts w:ascii="Verdana" w:hAnsi="Verdana"/>
                <w:bCs/>
                <w:sz w:val="20"/>
                <w:szCs w:val="20"/>
              </w:rPr>
              <w:t xml:space="preserve"> registrar el código </w:t>
            </w:r>
            <w:r w:rsidR="00AB7A6E">
              <w:rPr>
                <w:rFonts w:ascii="Verdana" w:hAnsi="Verdana"/>
                <w:bCs/>
                <w:sz w:val="20"/>
                <w:szCs w:val="20"/>
              </w:rPr>
              <w:t xml:space="preserve">alfabético </w:t>
            </w:r>
            <w:r w:rsidR="000156D9">
              <w:rPr>
                <w:rFonts w:ascii="Verdana" w:hAnsi="Verdana"/>
                <w:bCs/>
                <w:sz w:val="20"/>
                <w:szCs w:val="20"/>
              </w:rPr>
              <w:t>de la mone</w:t>
            </w:r>
            <w:r w:rsidR="00906104">
              <w:rPr>
                <w:rFonts w:ascii="Verdana" w:hAnsi="Verdana"/>
                <w:bCs/>
                <w:sz w:val="20"/>
                <w:szCs w:val="20"/>
              </w:rPr>
              <w:t>d</w:t>
            </w:r>
            <w:r w:rsidR="000156D9">
              <w:rPr>
                <w:rFonts w:ascii="Verdana" w:hAnsi="Verdana"/>
                <w:bCs/>
                <w:sz w:val="20"/>
                <w:szCs w:val="20"/>
              </w:rPr>
              <w:t xml:space="preserve">a de acuerdo </w:t>
            </w:r>
            <w:r w:rsidR="0019001B">
              <w:rPr>
                <w:rFonts w:ascii="Verdana" w:hAnsi="Verdana"/>
                <w:bCs/>
                <w:sz w:val="20"/>
                <w:szCs w:val="20"/>
              </w:rPr>
              <w:t>con la codificación</w:t>
            </w:r>
            <w:r w:rsidR="00A93615">
              <w:rPr>
                <w:rFonts w:ascii="Verdana" w:hAnsi="Verdana"/>
                <w:bCs/>
                <w:sz w:val="20"/>
                <w:szCs w:val="20"/>
              </w:rPr>
              <w:t xml:space="preserve"> internacional de la ISO </w:t>
            </w:r>
            <w:r w:rsidR="005A618C">
              <w:rPr>
                <w:rFonts w:ascii="Verdana" w:hAnsi="Verdana"/>
                <w:bCs/>
                <w:sz w:val="20"/>
                <w:szCs w:val="20"/>
              </w:rPr>
              <w:t xml:space="preserve">4217. </w:t>
            </w:r>
          </w:p>
          <w:p w14:paraId="213304CD" w14:textId="77777777" w:rsidR="00820C58" w:rsidRPr="00663431" w:rsidRDefault="00820C58" w:rsidP="00820C58">
            <w:pPr>
              <w:jc w:val="both"/>
              <w:outlineLvl w:val="0"/>
              <w:rPr>
                <w:rFonts w:ascii="Verdana" w:hAnsi="Verdana"/>
                <w:bCs/>
                <w:sz w:val="20"/>
                <w:szCs w:val="20"/>
              </w:rPr>
            </w:pPr>
          </w:p>
          <w:p w14:paraId="7D3CBB7C" w14:textId="1CB279C0" w:rsidR="00820C58" w:rsidRDefault="00820C58" w:rsidP="00820C58">
            <w:pPr>
              <w:jc w:val="both"/>
              <w:rPr>
                <w:rFonts w:ascii="Verdana" w:hAnsi="Verdana"/>
                <w:bCs/>
                <w:sz w:val="20"/>
                <w:szCs w:val="20"/>
              </w:rPr>
            </w:pPr>
            <w:r w:rsidRPr="00663431">
              <w:rPr>
                <w:rFonts w:ascii="Verdana" w:hAnsi="Verdana"/>
                <w:bCs/>
                <w:sz w:val="20"/>
                <w:szCs w:val="20"/>
              </w:rPr>
              <w:t xml:space="preserve">En cualquier caso, el código de identificación </w:t>
            </w:r>
            <w:r>
              <w:rPr>
                <w:rFonts w:ascii="Verdana" w:hAnsi="Verdana"/>
                <w:bCs/>
                <w:sz w:val="20"/>
                <w:szCs w:val="20"/>
              </w:rPr>
              <w:t xml:space="preserve">modificado con </w:t>
            </w:r>
            <w:r w:rsidRPr="00663431">
              <w:rPr>
                <w:rFonts w:ascii="Verdana" w:hAnsi="Verdana"/>
                <w:bCs/>
                <w:sz w:val="20"/>
                <w:szCs w:val="20"/>
              </w:rPr>
              <w:t>el prefijo</w:t>
            </w:r>
            <w:r>
              <w:rPr>
                <w:rFonts w:ascii="Verdana" w:hAnsi="Verdana"/>
                <w:bCs/>
                <w:sz w:val="20"/>
                <w:szCs w:val="20"/>
              </w:rPr>
              <w:t xml:space="preserve"> por producto o con el código por moneda</w:t>
            </w:r>
            <w:r w:rsidRPr="00663431">
              <w:rPr>
                <w:rFonts w:ascii="Verdana" w:hAnsi="Verdana"/>
                <w:bCs/>
                <w:sz w:val="20"/>
                <w:szCs w:val="20"/>
              </w:rPr>
              <w:t xml:space="preserve"> </w:t>
            </w:r>
            <w:r>
              <w:rPr>
                <w:rFonts w:ascii="Verdana" w:hAnsi="Verdana"/>
                <w:bCs/>
                <w:sz w:val="20"/>
                <w:szCs w:val="20"/>
              </w:rPr>
              <w:t xml:space="preserve">debe </w:t>
            </w:r>
            <w:r w:rsidRPr="00663431">
              <w:rPr>
                <w:rFonts w:ascii="Verdana" w:hAnsi="Verdana"/>
                <w:bCs/>
                <w:sz w:val="20"/>
                <w:szCs w:val="20"/>
              </w:rPr>
              <w:t xml:space="preserve">ser consistente en </w:t>
            </w:r>
            <w:r w:rsidR="00A72F84">
              <w:rPr>
                <w:rFonts w:ascii="Verdana" w:hAnsi="Verdana"/>
                <w:bCs/>
                <w:sz w:val="20"/>
                <w:szCs w:val="20"/>
              </w:rPr>
              <w:t>el</w:t>
            </w:r>
            <w:r w:rsidRPr="00663431">
              <w:rPr>
                <w:rFonts w:ascii="Verdana" w:hAnsi="Verdana"/>
                <w:bCs/>
                <w:sz w:val="20"/>
                <w:szCs w:val="20"/>
              </w:rPr>
              <w:t xml:space="preserve"> MURIC.</w:t>
            </w:r>
          </w:p>
          <w:p w14:paraId="2D72910D" w14:textId="77777777" w:rsidR="00734867" w:rsidRDefault="00734867" w:rsidP="00820C58">
            <w:pPr>
              <w:jc w:val="both"/>
              <w:rPr>
                <w:rFonts w:ascii="Verdana" w:hAnsi="Verdana"/>
                <w:bCs/>
                <w:sz w:val="20"/>
                <w:szCs w:val="20"/>
              </w:rPr>
            </w:pPr>
          </w:p>
          <w:p w14:paraId="787CA1CE" w14:textId="021E4376" w:rsidR="0024134A" w:rsidRDefault="00C70470" w:rsidP="0024134A">
            <w:pPr>
              <w:jc w:val="both"/>
              <w:outlineLvl w:val="0"/>
              <w:rPr>
                <w:rFonts w:ascii="Verdana" w:hAnsi="Verdana"/>
                <w:color w:val="000000"/>
                <w:sz w:val="20"/>
                <w:szCs w:val="20"/>
              </w:rPr>
            </w:pPr>
            <w:r>
              <w:rPr>
                <w:rFonts w:ascii="Verdana" w:hAnsi="Verdana"/>
                <w:color w:val="000000"/>
                <w:sz w:val="20"/>
                <w:szCs w:val="20"/>
              </w:rPr>
              <w:t xml:space="preserve">También es </w:t>
            </w:r>
            <w:r w:rsidR="001F5B6D">
              <w:rPr>
                <w:rFonts w:ascii="Verdana" w:hAnsi="Verdana"/>
                <w:color w:val="000000"/>
                <w:sz w:val="20"/>
                <w:szCs w:val="20"/>
              </w:rPr>
              <w:t>o</w:t>
            </w:r>
            <w:r w:rsidR="0024134A">
              <w:rPr>
                <w:rFonts w:ascii="Verdana" w:hAnsi="Verdana"/>
                <w:color w:val="000000"/>
                <w:sz w:val="20"/>
                <w:szCs w:val="20"/>
              </w:rPr>
              <w:t xml:space="preserve">bligatorio para el reporte de que tratan los numerales </w:t>
            </w:r>
            <w:r w:rsidR="00B80BB2">
              <w:rPr>
                <w:rFonts w:ascii="Verdana" w:hAnsi="Verdana"/>
                <w:color w:val="000000"/>
                <w:sz w:val="20"/>
                <w:szCs w:val="20"/>
              </w:rPr>
              <w:t xml:space="preserve">14 (ii), </w:t>
            </w:r>
            <w:r w:rsidR="0024134A">
              <w:rPr>
                <w:rFonts w:ascii="Verdana" w:hAnsi="Verdana"/>
                <w:color w:val="000000"/>
                <w:sz w:val="20"/>
                <w:szCs w:val="20"/>
              </w:rPr>
              <w:t>15, 16, 17</w:t>
            </w:r>
            <w:r w:rsidR="008944CC">
              <w:rPr>
                <w:rFonts w:ascii="Verdana" w:hAnsi="Verdana"/>
                <w:color w:val="000000"/>
                <w:sz w:val="20"/>
                <w:szCs w:val="20"/>
              </w:rPr>
              <w:t>,</w:t>
            </w:r>
            <w:r w:rsidR="00E75A28">
              <w:rPr>
                <w:rFonts w:ascii="Verdana" w:hAnsi="Verdana"/>
                <w:color w:val="000000"/>
                <w:sz w:val="20"/>
                <w:szCs w:val="20"/>
              </w:rPr>
              <w:t xml:space="preserve"> </w:t>
            </w:r>
            <w:r w:rsidR="0024134A">
              <w:rPr>
                <w:rFonts w:ascii="Verdana" w:hAnsi="Verdana"/>
                <w:color w:val="000000"/>
                <w:sz w:val="20"/>
                <w:szCs w:val="20"/>
              </w:rPr>
              <w:t>18</w:t>
            </w:r>
            <w:r w:rsidR="008944CC">
              <w:rPr>
                <w:rFonts w:ascii="Verdana" w:hAnsi="Verdana"/>
                <w:color w:val="000000"/>
                <w:sz w:val="20"/>
                <w:szCs w:val="20"/>
              </w:rPr>
              <w:t xml:space="preserve"> y 31</w:t>
            </w:r>
            <w:r w:rsidR="0024134A">
              <w:rPr>
                <w:rFonts w:ascii="Verdana" w:hAnsi="Verdana"/>
                <w:color w:val="000000"/>
                <w:sz w:val="20"/>
                <w:szCs w:val="20"/>
              </w:rPr>
              <w:t xml:space="preserve"> de las </w:t>
            </w:r>
            <w:r w:rsidR="0024134A" w:rsidRPr="00422DCE">
              <w:rPr>
                <w:rFonts w:ascii="Verdana" w:hAnsi="Verdana"/>
                <w:bCs/>
                <w:sz w:val="20"/>
                <w:szCs w:val="20"/>
              </w:rPr>
              <w:t>«</w:t>
            </w:r>
            <w:r w:rsidR="0024134A" w:rsidRPr="00075DE0">
              <w:rPr>
                <w:rFonts w:ascii="Verdana" w:hAnsi="Verdana"/>
                <w:bCs/>
                <w:sz w:val="20"/>
                <w:szCs w:val="20"/>
              </w:rPr>
              <w:t>Re</w:t>
            </w:r>
            <w:r w:rsidR="0024134A">
              <w:rPr>
                <w:rFonts w:ascii="Verdana" w:hAnsi="Verdana"/>
                <w:bCs/>
                <w:sz w:val="20"/>
                <w:szCs w:val="20"/>
              </w:rPr>
              <w:t>glas generales de diligenciamiento</w:t>
            </w:r>
            <w:r w:rsidR="0024134A" w:rsidRPr="00BD40EF">
              <w:rPr>
                <w:rFonts w:ascii="Verdana" w:hAnsi="Verdana"/>
                <w:bCs/>
                <w:sz w:val="20"/>
                <w:szCs w:val="20"/>
              </w:rPr>
              <w:t>»</w:t>
            </w:r>
            <w:r w:rsidR="0024134A">
              <w:rPr>
                <w:rFonts w:ascii="Verdana" w:hAnsi="Verdana"/>
                <w:bCs/>
                <w:sz w:val="20"/>
                <w:szCs w:val="20"/>
              </w:rPr>
              <w:t xml:space="preserve"> del presente documento.</w:t>
            </w:r>
          </w:p>
          <w:p w14:paraId="6DB37D70" w14:textId="217E1D5C" w:rsidR="00734867" w:rsidRPr="00075DE0" w:rsidRDefault="00734867" w:rsidP="00820C58">
            <w:pPr>
              <w:jc w:val="both"/>
              <w:rPr>
                <w:rFonts w:ascii="Verdana" w:eastAsia="Times New Roman" w:hAnsi="Verdana" w:cs="Calibri"/>
                <w:color w:val="000000"/>
                <w:sz w:val="20"/>
                <w:szCs w:val="20"/>
                <w:lang w:eastAsia="es-CO"/>
              </w:rPr>
            </w:pPr>
          </w:p>
        </w:tc>
      </w:tr>
      <w:tr w:rsidR="00663431" w:rsidRPr="00075DE0" w14:paraId="2A62DEB7" w14:textId="77777777" w:rsidTr="00043CF1">
        <w:trPr>
          <w:trHeight w:val="1620"/>
        </w:trPr>
        <w:tc>
          <w:tcPr>
            <w:tcW w:w="1705" w:type="dxa"/>
            <w:vAlign w:val="center"/>
          </w:tcPr>
          <w:p w14:paraId="27E7EB3D" w14:textId="1171FCC0" w:rsidR="00663431" w:rsidRPr="00075DE0" w:rsidRDefault="00663431" w:rsidP="00663431">
            <w:pPr>
              <w:jc w:val="center"/>
              <w:rPr>
                <w:rFonts w:ascii="Verdana" w:hAnsi="Verdana"/>
                <w:color w:val="000000"/>
                <w:sz w:val="20"/>
                <w:szCs w:val="20"/>
                <w:shd w:val="clear" w:color="auto" w:fill="FFFFFF"/>
              </w:rPr>
            </w:pPr>
            <w:r w:rsidRPr="00663431">
              <w:rPr>
                <w:rFonts w:ascii="Verdana" w:hAnsi="Verdana"/>
                <w:color w:val="000000"/>
                <w:sz w:val="20"/>
                <w:szCs w:val="20"/>
                <w:shd w:val="clear" w:color="auto" w:fill="FFFFFF"/>
              </w:rPr>
              <w:t>Tipo identificación deudor</w:t>
            </w:r>
          </w:p>
        </w:tc>
        <w:tc>
          <w:tcPr>
            <w:tcW w:w="3147" w:type="dxa"/>
            <w:vAlign w:val="center"/>
          </w:tcPr>
          <w:p w14:paraId="07385177" w14:textId="149E09BF" w:rsidR="00663431" w:rsidRPr="00075DE0" w:rsidRDefault="00663431" w:rsidP="00663431">
            <w:pPr>
              <w:jc w:val="center"/>
              <w:rPr>
                <w:rFonts w:ascii="Verdana" w:eastAsia="Times New Roman" w:hAnsi="Verdana" w:cs="Calibri"/>
                <w:color w:val="000000"/>
                <w:sz w:val="20"/>
                <w:szCs w:val="20"/>
                <w:lang w:eastAsia="es-CO"/>
              </w:rPr>
            </w:pPr>
            <w:r w:rsidRPr="00535BBD">
              <w:rPr>
                <w:rFonts w:ascii="Verdana" w:eastAsia="Times New Roman" w:hAnsi="Verdana" w:cs="Calibri"/>
                <w:color w:val="000000"/>
                <w:sz w:val="20"/>
                <w:szCs w:val="20"/>
                <w:lang w:eastAsia="es-CO"/>
              </w:rPr>
              <w:t>tipo_identificacion</w:t>
            </w:r>
          </w:p>
        </w:tc>
        <w:tc>
          <w:tcPr>
            <w:tcW w:w="4215" w:type="dxa"/>
            <w:vAlign w:val="center"/>
          </w:tcPr>
          <w:p w14:paraId="3DA24921" w14:textId="77777777" w:rsidR="002F2310" w:rsidRPr="00663431" w:rsidRDefault="002F2310" w:rsidP="002F2310">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tipo de documento de identificación del deudor, según la tabla </w:t>
            </w:r>
            <w:r w:rsidRPr="00663431">
              <w:rPr>
                <w:rFonts w:ascii="Verdana" w:hAnsi="Verdana"/>
                <w:bCs/>
                <w:sz w:val="20"/>
                <w:szCs w:val="20"/>
              </w:rPr>
              <w:t>«T</w:t>
            </w:r>
            <w:r w:rsidRPr="00663431">
              <w:rPr>
                <w:rFonts w:ascii="Verdana" w:eastAsia="Times New Roman" w:hAnsi="Verdana" w:cs="Calibri"/>
                <w:color w:val="000000"/>
                <w:sz w:val="20"/>
                <w:szCs w:val="20"/>
                <w:lang w:eastAsia="es-CO"/>
              </w:rPr>
              <w:t>ipo de identificación</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 xml:space="preserve">: </w:t>
            </w:r>
          </w:p>
          <w:p w14:paraId="15DC5806" w14:textId="77777777" w:rsidR="002F2310" w:rsidRPr="00663431" w:rsidRDefault="002F2310" w:rsidP="002F2310">
            <w:pPr>
              <w:jc w:val="both"/>
              <w:rPr>
                <w:rFonts w:ascii="Verdana" w:eastAsia="Times New Roman" w:hAnsi="Verdana" w:cs="Calibri"/>
                <w:color w:val="000000"/>
                <w:sz w:val="20"/>
                <w:szCs w:val="20"/>
                <w:lang w:eastAsia="es-CO"/>
              </w:rPr>
            </w:pPr>
          </w:p>
          <w:p w14:paraId="7F1861C3" w14:textId="77777777" w:rsidR="00663431" w:rsidRDefault="002F2310" w:rsidP="002F2310">
            <w:pPr>
              <w:jc w:val="both"/>
              <w:rPr>
                <w:rFonts w:ascii="Verdana" w:eastAsia="Times New Roman" w:hAnsi="Verdana" w:cs="Calibri"/>
                <w:i/>
                <w:iCs/>
                <w:color w:val="000000"/>
                <w:sz w:val="20"/>
                <w:szCs w:val="20"/>
                <w:lang w:eastAsia="es-CO"/>
              </w:rPr>
            </w:pPr>
            <w:r w:rsidRPr="00663431">
              <w:rPr>
                <w:rFonts w:ascii="Verdana" w:eastAsia="Times New Roman" w:hAnsi="Verdana" w:cs="Calibri"/>
                <w:i/>
                <w:iCs/>
                <w:color w:val="000000"/>
                <w:sz w:val="20"/>
                <w:szCs w:val="20"/>
                <w:lang w:eastAsia="es-CO"/>
              </w:rPr>
              <w:t>Inicio</w:t>
            </w:r>
            <w:r>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sidR="004173BD">
              <w:rPr>
                <w:rFonts w:ascii="Verdana" w:eastAsia="Times New Roman" w:hAnsi="Verdana" w:cs="Calibri"/>
                <w:i/>
                <w:iCs/>
                <w:color w:val="000000"/>
                <w:sz w:val="20"/>
                <w:szCs w:val="20"/>
                <w:lang w:eastAsia="es-CO"/>
              </w:rPr>
              <w:t xml:space="preserve">Entidades vigiladas y controladas </w:t>
            </w:r>
            <w:r w:rsidRPr="00663431">
              <w:rPr>
                <w:rFonts w:ascii="Verdana" w:eastAsia="Times New Roman" w:hAnsi="Verdana" w:cs="Calibri"/>
                <w:i/>
                <w:iCs/>
                <w:color w:val="000000"/>
                <w:sz w:val="20"/>
                <w:szCs w:val="20"/>
                <w:lang w:eastAsia="es-CO"/>
              </w:rPr>
              <w:t xml:space="preserve">/ </w:t>
            </w:r>
            <w:r>
              <w:rPr>
                <w:rFonts w:ascii="Verdana" w:eastAsia="Times New Roman" w:hAnsi="Verdana" w:cs="Calibri"/>
                <w:i/>
                <w:iCs/>
                <w:color w:val="000000"/>
                <w:sz w:val="20"/>
                <w:szCs w:val="20"/>
                <w:lang w:eastAsia="es-CO"/>
              </w:rPr>
              <w:t>I</w:t>
            </w:r>
            <w:r w:rsidRPr="00663431">
              <w:rPr>
                <w:rFonts w:ascii="Verdana" w:eastAsia="Times New Roman" w:hAnsi="Verdana" w:cs="Calibri"/>
                <w:i/>
                <w:iCs/>
                <w:color w:val="000000"/>
                <w:sz w:val="20"/>
                <w:szCs w:val="20"/>
                <w:lang w:eastAsia="es-CO"/>
              </w:rPr>
              <w:t>nterés del vigilado/reportes /</w:t>
            </w:r>
            <w:r>
              <w:rPr>
                <w:rFonts w:ascii="Verdana" w:eastAsia="Times New Roman" w:hAnsi="Verdana" w:cs="Calibri"/>
                <w:i/>
                <w:iCs/>
                <w:color w:val="000000"/>
                <w:sz w:val="20"/>
                <w:szCs w:val="20"/>
                <w:lang w:eastAsia="es-CO"/>
              </w:rPr>
              <w:t xml:space="preserve"> Í</w:t>
            </w:r>
            <w:r w:rsidRPr="00663431">
              <w:rPr>
                <w:rFonts w:ascii="Verdana" w:eastAsia="Times New Roman" w:hAnsi="Verdana" w:cs="Calibri"/>
                <w:i/>
                <w:iCs/>
                <w:color w:val="000000"/>
                <w:sz w:val="20"/>
                <w:szCs w:val="20"/>
                <w:lang w:eastAsia="es-CO"/>
              </w:rPr>
              <w:t xml:space="preserve">ndice de </w:t>
            </w:r>
            <w:r w:rsidRPr="00663431">
              <w:rPr>
                <w:rFonts w:ascii="Verdana" w:eastAsia="Times New Roman" w:hAnsi="Verdana" w:cs="Calibri"/>
                <w:i/>
                <w:iCs/>
                <w:color w:val="000000"/>
                <w:sz w:val="20"/>
                <w:szCs w:val="20"/>
                <w:lang w:eastAsia="es-CO"/>
              </w:rPr>
              <w:lastRenderedPageBreak/>
              <w:t>reportes de información a la superintendencia financiera</w:t>
            </w:r>
            <w:r>
              <w:rPr>
                <w:rFonts w:ascii="Verdana" w:eastAsia="Times New Roman" w:hAnsi="Verdana" w:cs="Calibri"/>
                <w:i/>
                <w:iCs/>
                <w:color w:val="000000"/>
                <w:sz w:val="20"/>
                <w:szCs w:val="20"/>
                <w:lang w:eastAsia="es-CO"/>
              </w:rPr>
              <w:t xml:space="preserve"> </w:t>
            </w:r>
            <w:r w:rsidRPr="00663431">
              <w:rPr>
                <w:rFonts w:ascii="Verdana" w:eastAsia="Times New Roman" w:hAnsi="Verdana" w:cs="Calibri"/>
                <w:i/>
                <w:iCs/>
                <w:color w:val="000000"/>
                <w:sz w:val="20"/>
                <w:szCs w:val="20"/>
                <w:lang w:eastAsia="es-CO"/>
              </w:rPr>
              <w:t xml:space="preserve">/ </w:t>
            </w:r>
            <w:r>
              <w:rPr>
                <w:rFonts w:ascii="Verdana" w:eastAsia="Times New Roman" w:hAnsi="Verdana" w:cs="Calibri"/>
                <w:i/>
                <w:iCs/>
                <w:color w:val="000000"/>
                <w:sz w:val="20"/>
                <w:szCs w:val="20"/>
                <w:lang w:eastAsia="es-CO"/>
              </w:rPr>
              <w:t>T</w:t>
            </w:r>
            <w:r w:rsidRPr="00663431">
              <w:rPr>
                <w:rFonts w:ascii="Verdana" w:eastAsia="Times New Roman" w:hAnsi="Verdana" w:cs="Calibri"/>
                <w:i/>
                <w:iCs/>
                <w:color w:val="000000"/>
                <w:sz w:val="20"/>
                <w:szCs w:val="20"/>
                <w:lang w:eastAsia="es-CO"/>
              </w:rPr>
              <w:t>ablas anexas para el reporte de información</w:t>
            </w:r>
            <w:r>
              <w:rPr>
                <w:rFonts w:ascii="Verdana" w:eastAsia="Times New Roman" w:hAnsi="Verdana" w:cs="Calibri"/>
                <w:i/>
                <w:iCs/>
                <w:color w:val="000000"/>
                <w:sz w:val="20"/>
                <w:szCs w:val="20"/>
                <w:lang w:eastAsia="es-CO"/>
              </w:rPr>
              <w:t xml:space="preserve"> / Tabla tipo de identificación</w:t>
            </w:r>
          </w:p>
          <w:p w14:paraId="31B7DFC2" w14:textId="77777777" w:rsidR="00734867" w:rsidRDefault="00734867" w:rsidP="002F2310">
            <w:pPr>
              <w:jc w:val="both"/>
              <w:rPr>
                <w:rFonts w:ascii="Verdana" w:eastAsia="Times New Roman" w:hAnsi="Verdana" w:cs="Calibri"/>
                <w:color w:val="000000"/>
                <w:sz w:val="20"/>
                <w:szCs w:val="20"/>
                <w:lang w:eastAsia="es-CO"/>
              </w:rPr>
            </w:pPr>
          </w:p>
          <w:p w14:paraId="52DFE6D0" w14:textId="4E853871" w:rsidR="0024134A" w:rsidRDefault="001F5B6D" w:rsidP="0024134A">
            <w:pPr>
              <w:jc w:val="both"/>
              <w:outlineLvl w:val="0"/>
              <w:rPr>
                <w:rFonts w:ascii="Verdana" w:hAnsi="Verdana"/>
                <w:color w:val="000000"/>
                <w:sz w:val="20"/>
                <w:szCs w:val="20"/>
              </w:rPr>
            </w:pPr>
            <w:r>
              <w:rPr>
                <w:rFonts w:ascii="Verdana" w:hAnsi="Verdana"/>
                <w:color w:val="000000"/>
                <w:sz w:val="20"/>
                <w:szCs w:val="20"/>
              </w:rPr>
              <w:t>También es o</w:t>
            </w:r>
            <w:r w:rsidR="0024134A">
              <w:rPr>
                <w:rFonts w:ascii="Verdana" w:hAnsi="Verdana"/>
                <w:color w:val="000000"/>
                <w:sz w:val="20"/>
                <w:szCs w:val="20"/>
              </w:rPr>
              <w:t xml:space="preserve">bligatorio para el reporte de que tratan los numerales </w:t>
            </w:r>
            <w:r w:rsidR="00B80BB2">
              <w:rPr>
                <w:rFonts w:ascii="Verdana" w:hAnsi="Verdana"/>
                <w:color w:val="000000"/>
                <w:sz w:val="20"/>
                <w:szCs w:val="20"/>
              </w:rPr>
              <w:t xml:space="preserve">14 (ii), </w:t>
            </w:r>
            <w:r w:rsidR="0024134A">
              <w:rPr>
                <w:rFonts w:ascii="Verdana" w:hAnsi="Verdana"/>
                <w:color w:val="000000"/>
                <w:sz w:val="20"/>
                <w:szCs w:val="20"/>
              </w:rPr>
              <w:t>15, 16, 17</w:t>
            </w:r>
            <w:r w:rsidR="008944CC">
              <w:rPr>
                <w:rFonts w:ascii="Verdana" w:hAnsi="Verdana"/>
                <w:color w:val="000000"/>
                <w:sz w:val="20"/>
                <w:szCs w:val="20"/>
              </w:rPr>
              <w:t>,</w:t>
            </w:r>
            <w:r w:rsidR="007F08F9">
              <w:rPr>
                <w:rFonts w:ascii="Verdana" w:hAnsi="Verdana"/>
                <w:color w:val="000000"/>
                <w:sz w:val="20"/>
                <w:szCs w:val="20"/>
              </w:rPr>
              <w:t xml:space="preserve"> </w:t>
            </w:r>
            <w:r w:rsidR="0024134A">
              <w:rPr>
                <w:rFonts w:ascii="Verdana" w:hAnsi="Verdana"/>
                <w:color w:val="000000"/>
                <w:sz w:val="20"/>
                <w:szCs w:val="20"/>
              </w:rPr>
              <w:t>18</w:t>
            </w:r>
            <w:r w:rsidR="008944CC">
              <w:rPr>
                <w:rFonts w:ascii="Verdana" w:hAnsi="Verdana"/>
                <w:color w:val="000000"/>
                <w:sz w:val="20"/>
                <w:szCs w:val="20"/>
              </w:rPr>
              <w:t xml:space="preserve"> y 31</w:t>
            </w:r>
            <w:r w:rsidR="0024134A">
              <w:rPr>
                <w:rFonts w:ascii="Verdana" w:hAnsi="Verdana"/>
                <w:color w:val="000000"/>
                <w:sz w:val="20"/>
                <w:szCs w:val="20"/>
              </w:rPr>
              <w:t xml:space="preserve"> de las </w:t>
            </w:r>
            <w:r w:rsidR="0024134A" w:rsidRPr="00422DCE">
              <w:rPr>
                <w:rFonts w:ascii="Verdana" w:hAnsi="Verdana"/>
                <w:bCs/>
                <w:sz w:val="20"/>
                <w:szCs w:val="20"/>
              </w:rPr>
              <w:t>«</w:t>
            </w:r>
            <w:r w:rsidR="0024134A" w:rsidRPr="00075DE0">
              <w:rPr>
                <w:rFonts w:ascii="Verdana" w:hAnsi="Verdana"/>
                <w:bCs/>
                <w:sz w:val="20"/>
                <w:szCs w:val="20"/>
              </w:rPr>
              <w:t>Re</w:t>
            </w:r>
            <w:r w:rsidR="0024134A">
              <w:rPr>
                <w:rFonts w:ascii="Verdana" w:hAnsi="Verdana"/>
                <w:bCs/>
                <w:sz w:val="20"/>
                <w:szCs w:val="20"/>
              </w:rPr>
              <w:t>glas generales de diligenciamiento</w:t>
            </w:r>
            <w:r w:rsidR="0024134A" w:rsidRPr="00BD40EF">
              <w:rPr>
                <w:rFonts w:ascii="Verdana" w:hAnsi="Verdana"/>
                <w:bCs/>
                <w:sz w:val="20"/>
                <w:szCs w:val="20"/>
              </w:rPr>
              <w:t>»</w:t>
            </w:r>
            <w:r w:rsidR="0024134A">
              <w:rPr>
                <w:rFonts w:ascii="Verdana" w:hAnsi="Verdana"/>
                <w:bCs/>
                <w:sz w:val="20"/>
                <w:szCs w:val="20"/>
              </w:rPr>
              <w:t xml:space="preserve"> del presente documento.</w:t>
            </w:r>
          </w:p>
          <w:p w14:paraId="1699EE97" w14:textId="5110C3BA" w:rsidR="00734867" w:rsidRPr="00B12782" w:rsidRDefault="00734867" w:rsidP="002F2310">
            <w:pPr>
              <w:jc w:val="both"/>
              <w:rPr>
                <w:rFonts w:ascii="Verdana" w:eastAsia="Times New Roman" w:hAnsi="Verdana" w:cs="Calibri"/>
                <w:color w:val="000000"/>
                <w:sz w:val="20"/>
                <w:szCs w:val="20"/>
                <w:lang w:eastAsia="es-CO"/>
              </w:rPr>
            </w:pPr>
          </w:p>
        </w:tc>
      </w:tr>
      <w:tr w:rsidR="00674FDE" w:rsidRPr="00075DE0" w14:paraId="4CDD7364" w14:textId="77777777" w:rsidTr="00043CF1">
        <w:trPr>
          <w:trHeight w:val="1620"/>
        </w:trPr>
        <w:tc>
          <w:tcPr>
            <w:tcW w:w="1705" w:type="dxa"/>
            <w:vAlign w:val="center"/>
          </w:tcPr>
          <w:p w14:paraId="5D0AFBAB" w14:textId="10722262" w:rsidR="00674FDE" w:rsidRPr="00075DE0" w:rsidRDefault="00674FDE" w:rsidP="00674FDE">
            <w:pPr>
              <w:jc w:val="center"/>
              <w:rPr>
                <w:rFonts w:ascii="Verdana" w:hAnsi="Verdana"/>
                <w:color w:val="000000"/>
                <w:sz w:val="20"/>
                <w:szCs w:val="20"/>
                <w:shd w:val="clear" w:color="auto" w:fill="FFFFFF"/>
              </w:rPr>
            </w:pPr>
            <w:r w:rsidRPr="00535BBD">
              <w:rPr>
                <w:rFonts w:ascii="Verdana" w:eastAsia="Times New Roman" w:hAnsi="Verdana" w:cs="Calibri"/>
                <w:sz w:val="20"/>
                <w:szCs w:val="20"/>
                <w:lang w:eastAsia="es-CO"/>
              </w:rPr>
              <w:lastRenderedPageBreak/>
              <w:t>Número de identificación</w:t>
            </w:r>
          </w:p>
        </w:tc>
        <w:tc>
          <w:tcPr>
            <w:tcW w:w="3147" w:type="dxa"/>
            <w:vAlign w:val="center"/>
          </w:tcPr>
          <w:p w14:paraId="0965B879" w14:textId="0DE895FE" w:rsidR="00674FDE" w:rsidRPr="00075DE0" w:rsidRDefault="00674FDE" w:rsidP="00674FDE">
            <w:pPr>
              <w:jc w:val="center"/>
              <w:rPr>
                <w:rFonts w:ascii="Verdana" w:eastAsia="Times New Roman" w:hAnsi="Verdana" w:cs="Calibri"/>
                <w:color w:val="000000"/>
                <w:sz w:val="20"/>
                <w:szCs w:val="20"/>
                <w:lang w:eastAsia="es-CO"/>
              </w:rPr>
            </w:pPr>
            <w:r w:rsidRPr="00535BBD">
              <w:rPr>
                <w:rFonts w:ascii="Verdana" w:eastAsia="Times New Roman" w:hAnsi="Verdana" w:cs="Calibri"/>
                <w:sz w:val="20"/>
                <w:szCs w:val="20"/>
                <w:lang w:eastAsia="es-CO"/>
              </w:rPr>
              <w:t>numero_identificacion</w:t>
            </w:r>
          </w:p>
        </w:tc>
        <w:tc>
          <w:tcPr>
            <w:tcW w:w="4215" w:type="dxa"/>
            <w:vAlign w:val="center"/>
          </w:tcPr>
          <w:p w14:paraId="3EBD8570" w14:textId="77777777" w:rsidR="00674FDE" w:rsidRDefault="00674FDE" w:rsidP="00674FDE">
            <w:pPr>
              <w:jc w:val="both"/>
              <w:rPr>
                <w:rFonts w:ascii="Verdana" w:eastAsia="Times New Roman" w:hAnsi="Verdana" w:cs="Calibri"/>
                <w:color w:val="000000"/>
                <w:sz w:val="20"/>
                <w:szCs w:val="20"/>
                <w:lang w:eastAsia="es-CO"/>
              </w:rPr>
            </w:pPr>
            <w:r w:rsidRPr="00663431">
              <w:rPr>
                <w:rFonts w:ascii="Verdana" w:eastAsia="Times New Roman" w:hAnsi="Verdana" w:cs="Calibri"/>
                <w:color w:val="000000"/>
                <w:sz w:val="20"/>
                <w:szCs w:val="20"/>
                <w:lang w:eastAsia="es-CO"/>
              </w:rPr>
              <w:t xml:space="preserve">Registre el número de identificación del deudor asignado por la Registraduría Nacional del Estado Civil, </w:t>
            </w:r>
            <w:r>
              <w:rPr>
                <w:rFonts w:ascii="Verdana" w:eastAsia="Times New Roman" w:hAnsi="Verdana" w:cs="Calibri"/>
                <w:color w:val="000000"/>
                <w:sz w:val="20"/>
                <w:szCs w:val="20"/>
                <w:lang w:eastAsia="es-CO"/>
              </w:rPr>
              <w:t xml:space="preserve">la </w:t>
            </w:r>
            <w:r w:rsidRPr="00663431">
              <w:rPr>
                <w:rFonts w:ascii="Verdana" w:eastAsia="Times New Roman" w:hAnsi="Verdana" w:cs="Calibri"/>
                <w:color w:val="000000"/>
                <w:sz w:val="20"/>
                <w:szCs w:val="20"/>
                <w:lang w:eastAsia="es-CO"/>
              </w:rPr>
              <w:t xml:space="preserve">Dirección de Impuestos y Aduanas Nacionales, o la entidad </w:t>
            </w:r>
            <w:r>
              <w:rPr>
                <w:rFonts w:ascii="Verdana" w:eastAsia="Times New Roman" w:hAnsi="Verdana" w:cs="Calibri"/>
                <w:color w:val="000000"/>
                <w:sz w:val="20"/>
                <w:szCs w:val="20"/>
                <w:lang w:eastAsia="es-CO"/>
              </w:rPr>
              <w:t>competente, según corresponda</w:t>
            </w:r>
            <w:r w:rsidRPr="00663431">
              <w:rPr>
                <w:rFonts w:ascii="Verdana" w:eastAsia="Times New Roman" w:hAnsi="Verdana" w:cs="Calibri"/>
                <w:color w:val="000000"/>
                <w:sz w:val="20"/>
                <w:szCs w:val="20"/>
                <w:lang w:eastAsia="es-CO"/>
              </w:rPr>
              <w:t>.</w:t>
            </w:r>
          </w:p>
          <w:p w14:paraId="07B4FF5E" w14:textId="77777777" w:rsidR="00674FDE" w:rsidRDefault="00674FDE" w:rsidP="00674FDE">
            <w:pPr>
              <w:jc w:val="both"/>
              <w:rPr>
                <w:rFonts w:ascii="Verdana" w:eastAsia="Times New Roman" w:hAnsi="Verdana" w:cs="Calibri"/>
                <w:color w:val="000000"/>
                <w:sz w:val="20"/>
                <w:szCs w:val="20"/>
                <w:lang w:eastAsia="es-CO"/>
              </w:rPr>
            </w:pPr>
          </w:p>
          <w:p w14:paraId="45B57F48" w14:textId="77777777" w:rsidR="00674FDE" w:rsidRDefault="00674FDE" w:rsidP="00674FDE">
            <w:pPr>
              <w:jc w:val="both"/>
              <w:rPr>
                <w:rFonts w:ascii="Verdana" w:eastAsia="Times New Roman" w:hAnsi="Verdana" w:cs="Calibri"/>
                <w:color w:val="000000"/>
                <w:sz w:val="20"/>
                <w:szCs w:val="20"/>
                <w:lang w:eastAsia="es-CO"/>
              </w:rPr>
            </w:pPr>
            <w:r w:rsidRPr="00642D74">
              <w:rPr>
                <w:rFonts w:ascii="Verdana" w:eastAsia="Times New Roman" w:hAnsi="Verdana" w:cs="Calibri"/>
                <w:color w:val="000000"/>
                <w:sz w:val="20"/>
                <w:szCs w:val="20"/>
                <w:lang w:eastAsia="es-CO"/>
              </w:rPr>
              <w:t>Cuando el tipo de identificación corresponda a un NIT, se debe reportar el número sin dígito de verificación.</w:t>
            </w:r>
          </w:p>
          <w:p w14:paraId="5EE0C798" w14:textId="77777777" w:rsidR="00674FDE" w:rsidRPr="00325192" w:rsidRDefault="00674FDE" w:rsidP="00674FDE">
            <w:pPr>
              <w:jc w:val="both"/>
              <w:rPr>
                <w:rFonts w:ascii="Verdana" w:eastAsia="Times New Roman" w:hAnsi="Verdana" w:cs="Calibri"/>
                <w:color w:val="000000"/>
                <w:sz w:val="20"/>
                <w:szCs w:val="20"/>
                <w:lang w:eastAsia="es-CO"/>
              </w:rPr>
            </w:pPr>
          </w:p>
          <w:p w14:paraId="5E88734F" w14:textId="77777777" w:rsidR="00674FDE" w:rsidRDefault="00674FDE" w:rsidP="00674FDE">
            <w:pPr>
              <w:jc w:val="both"/>
              <w:rPr>
                <w:rFonts w:ascii="Verdana" w:eastAsia="Times New Roman" w:hAnsi="Verdana" w:cs="Calibri"/>
                <w:color w:val="000000"/>
                <w:sz w:val="20"/>
                <w:szCs w:val="20"/>
                <w:lang w:eastAsia="es-CO"/>
              </w:rPr>
            </w:pPr>
            <w:r w:rsidRPr="00325192">
              <w:rPr>
                <w:rFonts w:ascii="Verdana" w:eastAsia="Times New Roman" w:hAnsi="Verdana" w:cs="Calibri"/>
                <w:color w:val="000000"/>
                <w:sz w:val="20"/>
                <w:szCs w:val="20"/>
                <w:lang w:eastAsia="es-CO"/>
              </w:rPr>
              <w:t xml:space="preserve">Si </w:t>
            </w:r>
            <w:r>
              <w:rPr>
                <w:rFonts w:ascii="Verdana" w:eastAsia="Times New Roman" w:hAnsi="Verdana" w:cs="Calibri"/>
                <w:color w:val="000000"/>
                <w:sz w:val="20"/>
                <w:szCs w:val="20"/>
                <w:lang w:eastAsia="es-CO"/>
              </w:rPr>
              <w:t>el deudor</w:t>
            </w:r>
            <w:r w:rsidRPr="00325192">
              <w:rPr>
                <w:rFonts w:ascii="Verdana" w:eastAsia="Times New Roman" w:hAnsi="Verdana" w:cs="Calibri"/>
                <w:color w:val="000000"/>
                <w:sz w:val="20"/>
                <w:szCs w:val="20"/>
                <w:lang w:eastAsia="es-CO"/>
              </w:rPr>
              <w:t xml:space="preserve"> es del exterior y no posee identificación en Colombia, registre el número, código o clave de identificación fiscal tributaria asignada en el país de residencia o domicilio. Si no se tiene el código o clave de identificación tributaria mencionado anteriormente, se deberá registrar el código interno que utilice o asigne la entidad para su identificación</w:t>
            </w:r>
            <w:r>
              <w:rPr>
                <w:rFonts w:ascii="Verdana" w:eastAsia="Times New Roman" w:hAnsi="Verdana" w:cs="Calibri"/>
                <w:color w:val="000000"/>
                <w:sz w:val="20"/>
                <w:szCs w:val="20"/>
                <w:lang w:eastAsia="es-CO"/>
              </w:rPr>
              <w:t>.</w:t>
            </w:r>
          </w:p>
          <w:p w14:paraId="6059B9C5" w14:textId="77777777" w:rsidR="00674FDE" w:rsidRDefault="00674FDE" w:rsidP="00674FDE">
            <w:pPr>
              <w:jc w:val="both"/>
              <w:rPr>
                <w:rFonts w:ascii="Verdana" w:eastAsia="Times New Roman" w:hAnsi="Verdana" w:cs="Calibri"/>
                <w:color w:val="000000"/>
                <w:sz w:val="20"/>
                <w:szCs w:val="20"/>
                <w:lang w:eastAsia="es-CO"/>
              </w:rPr>
            </w:pPr>
          </w:p>
          <w:p w14:paraId="58AEF9D3" w14:textId="36490DC6" w:rsidR="00674FDE" w:rsidRPr="00230A06" w:rsidRDefault="00674FDE" w:rsidP="00674FDE">
            <w:pPr>
              <w:jc w:val="both"/>
              <w:rPr>
                <w:rFonts w:ascii="Verdana" w:eastAsia="Times New Roman" w:hAnsi="Verdana" w:cs="Calibri"/>
                <w:color w:val="000000"/>
                <w:sz w:val="20"/>
                <w:szCs w:val="20"/>
                <w:lang w:val="es-CO" w:eastAsia="es-CO"/>
              </w:rPr>
            </w:pPr>
            <w:r w:rsidRPr="00B55C3C">
              <w:rPr>
                <w:rFonts w:ascii="Verdana" w:eastAsia="Times New Roman" w:hAnsi="Verdana" w:cs="Calibri"/>
                <w:color w:val="000000"/>
                <w:sz w:val="20"/>
                <w:szCs w:val="20"/>
                <w:lang w:val="es-CO" w:eastAsia="es-CO"/>
              </w:rPr>
              <w:t xml:space="preserve">Si </w:t>
            </w:r>
            <w:r>
              <w:rPr>
                <w:rFonts w:ascii="Verdana" w:eastAsia="Times New Roman" w:hAnsi="Verdana" w:cs="Calibri"/>
                <w:color w:val="000000"/>
                <w:sz w:val="20"/>
                <w:szCs w:val="20"/>
                <w:lang w:val="es-CO" w:eastAsia="es-CO"/>
              </w:rPr>
              <w:t>el deudor</w:t>
            </w:r>
            <w:r w:rsidRPr="00B55C3C">
              <w:rPr>
                <w:rFonts w:ascii="Verdana" w:eastAsia="Times New Roman" w:hAnsi="Verdana" w:cs="Calibri"/>
                <w:color w:val="000000"/>
                <w:sz w:val="20"/>
                <w:szCs w:val="20"/>
                <w:lang w:val="es-CO" w:eastAsia="es-CO"/>
              </w:rPr>
              <w:t xml:space="preserve"> es un</w:t>
            </w:r>
            <w:r>
              <w:rPr>
                <w:rFonts w:ascii="Verdana" w:eastAsia="Times New Roman" w:hAnsi="Verdana" w:cs="Calibri"/>
                <w:color w:val="000000"/>
                <w:sz w:val="20"/>
                <w:szCs w:val="20"/>
                <w:lang w:val="es-CO" w:eastAsia="es-CO"/>
              </w:rPr>
              <w:t xml:space="preserve"> </w:t>
            </w:r>
            <w:r w:rsidRPr="00230A06">
              <w:rPr>
                <w:rFonts w:ascii="Verdana" w:eastAsia="Times New Roman" w:hAnsi="Verdana" w:cs="Calibri"/>
                <w:color w:val="000000"/>
                <w:sz w:val="20"/>
                <w:szCs w:val="20"/>
                <w:lang w:val="es-CO" w:eastAsia="es-CO"/>
              </w:rPr>
              <w:t>Negocio</w:t>
            </w:r>
            <w:r>
              <w:rPr>
                <w:rFonts w:ascii="Verdana" w:eastAsia="Times New Roman" w:hAnsi="Verdana" w:cs="Calibri"/>
                <w:color w:val="000000"/>
                <w:sz w:val="20"/>
                <w:szCs w:val="20"/>
                <w:lang w:val="es-CO" w:eastAsia="es-CO"/>
              </w:rPr>
              <w:t xml:space="preserve"> </w:t>
            </w:r>
            <w:r w:rsidRPr="00230A06">
              <w:rPr>
                <w:rFonts w:ascii="Verdana" w:eastAsia="Times New Roman" w:hAnsi="Verdana" w:cs="Calibri"/>
                <w:color w:val="000000"/>
                <w:sz w:val="20"/>
                <w:szCs w:val="20"/>
                <w:lang w:val="es-CO" w:eastAsia="es-CO"/>
              </w:rPr>
              <w:t>fiduciario que administr</w:t>
            </w:r>
            <w:r>
              <w:rPr>
                <w:rFonts w:ascii="Verdana" w:eastAsia="Times New Roman" w:hAnsi="Verdana" w:cs="Calibri"/>
                <w:color w:val="000000"/>
                <w:sz w:val="20"/>
                <w:szCs w:val="20"/>
                <w:lang w:val="es-CO" w:eastAsia="es-CO"/>
              </w:rPr>
              <w:t>a</w:t>
            </w:r>
            <w:r w:rsidRPr="00230A06">
              <w:rPr>
                <w:rFonts w:ascii="Verdana" w:eastAsia="Times New Roman" w:hAnsi="Verdana" w:cs="Calibri"/>
                <w:color w:val="000000"/>
                <w:sz w:val="20"/>
                <w:szCs w:val="20"/>
                <w:lang w:val="es-CO" w:eastAsia="es-CO"/>
              </w:rPr>
              <w:t xml:space="preserve"> cartera originada por establecimientos de crédito</w:t>
            </w:r>
            <w:r>
              <w:rPr>
                <w:rFonts w:ascii="Verdana" w:eastAsia="Times New Roman" w:hAnsi="Verdana" w:cs="Calibri"/>
                <w:color w:val="000000"/>
                <w:sz w:val="20"/>
                <w:szCs w:val="20"/>
                <w:lang w:val="es-CO" w:eastAsia="es-CO"/>
              </w:rPr>
              <w:t xml:space="preserve"> o un </w:t>
            </w:r>
            <w:r w:rsidRPr="00230A06">
              <w:rPr>
                <w:rFonts w:ascii="Verdana" w:eastAsia="Times New Roman" w:hAnsi="Verdana" w:cs="Calibri"/>
                <w:color w:val="000000"/>
                <w:sz w:val="20"/>
                <w:szCs w:val="20"/>
                <w:lang w:val="es-CO" w:eastAsia="es-CO"/>
              </w:rPr>
              <w:t>fondo de capital de privado que originan cartera, registre el código del negocio fiduciario, fondo o compartimento</w:t>
            </w:r>
            <w:r w:rsidR="00AD1F02">
              <w:rPr>
                <w:rFonts w:ascii="Verdana" w:eastAsia="Times New Roman" w:hAnsi="Verdana" w:cs="Calibri"/>
                <w:color w:val="000000"/>
                <w:sz w:val="20"/>
                <w:szCs w:val="20"/>
                <w:lang w:eastAsia="es-CO"/>
              </w:rPr>
              <w:t xml:space="preserve"> en caso de estar constituido de esta forma, </w:t>
            </w:r>
            <w:r w:rsidRPr="00230A06">
              <w:rPr>
                <w:rFonts w:ascii="Verdana" w:eastAsia="Times New Roman" w:hAnsi="Verdana" w:cs="Calibri"/>
                <w:color w:val="000000"/>
                <w:sz w:val="20"/>
                <w:szCs w:val="20"/>
                <w:lang w:val="es-CO" w:eastAsia="es-CO"/>
              </w:rPr>
              <w:t xml:space="preserve"> registrado en la SFC, de acuerdo con la siguiente codificación:</w:t>
            </w:r>
          </w:p>
          <w:p w14:paraId="4BB2EC98"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 </w:t>
            </w:r>
          </w:p>
          <w:p w14:paraId="2A2B4E00"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TTTCCCTTTCCCCCC </w:t>
            </w:r>
          </w:p>
          <w:p w14:paraId="5A5C141D" w14:textId="77777777" w:rsidR="00674FDE" w:rsidRPr="00230A06" w:rsidRDefault="00674FDE" w:rsidP="00674FDE">
            <w:pPr>
              <w:jc w:val="both"/>
              <w:rPr>
                <w:rFonts w:ascii="Verdana" w:eastAsia="Times New Roman" w:hAnsi="Verdana" w:cs="Calibri"/>
                <w:color w:val="000000"/>
                <w:sz w:val="20"/>
                <w:szCs w:val="20"/>
                <w:lang w:val="es-CO" w:eastAsia="es-CO"/>
              </w:rPr>
            </w:pPr>
          </w:p>
          <w:p w14:paraId="197C8CA1"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donde:</w:t>
            </w:r>
          </w:p>
          <w:p w14:paraId="3B0BC99B" w14:textId="2161C5D2" w:rsidR="00674FDE" w:rsidRPr="00230A06" w:rsidRDefault="00674FDE" w:rsidP="00674FDE">
            <w:pPr>
              <w:jc w:val="both"/>
              <w:rPr>
                <w:rFonts w:ascii="Verdana" w:eastAsia="Times New Roman" w:hAnsi="Verdana" w:cs="Calibri"/>
                <w:color w:val="000000"/>
                <w:sz w:val="20"/>
                <w:szCs w:val="20"/>
                <w:lang w:val="es-CO" w:eastAsia="es-CO"/>
              </w:rPr>
            </w:pPr>
          </w:p>
          <w:p w14:paraId="4E420F8E"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w:t>
            </w:r>
          </w:p>
          <w:p w14:paraId="575BA907"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tipo de entidad administradora del vehículo respectivo, según lo señalado por la SFC.</w:t>
            </w:r>
          </w:p>
          <w:p w14:paraId="727067B4"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CCC:</w:t>
            </w:r>
          </w:p>
          <w:p w14:paraId="5D474F63"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código de la entidad administradora del vehículo, según lo señalado por la SFC.</w:t>
            </w:r>
          </w:p>
          <w:p w14:paraId="13BD717E"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w:t>
            </w:r>
          </w:p>
          <w:p w14:paraId="65B7B128"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Corresponde al tipo de vehículo inscrito en el módulo de registro de negocios de la SFC, por la entidad administradora del </w:t>
            </w:r>
            <w:r w:rsidRPr="00230A06">
              <w:rPr>
                <w:rFonts w:ascii="Verdana" w:eastAsia="Times New Roman" w:hAnsi="Verdana" w:cs="Calibri"/>
                <w:color w:val="000000"/>
                <w:sz w:val="20"/>
                <w:szCs w:val="20"/>
                <w:lang w:val="es-CO" w:eastAsia="es-CO"/>
              </w:rPr>
              <w:lastRenderedPageBreak/>
              <w:t>vehículo, según el numeral 3 de la parte I del título IV del capítulo VI de la CBJ de la SFC.</w:t>
            </w:r>
          </w:p>
          <w:p w14:paraId="5314492F"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CCCCCC:</w:t>
            </w:r>
          </w:p>
          <w:p w14:paraId="0C912751" w14:textId="3EEEC7A1"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Corresponde al código del vehículo respectivo inscrito en el módulo de registro de negocios de la SFC, por la entidad administradora del vehículo.</w:t>
            </w:r>
          </w:p>
          <w:p w14:paraId="589F3B09"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 </w:t>
            </w:r>
          </w:p>
          <w:p w14:paraId="6FA8A674"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Cuando el </w:t>
            </w:r>
            <w:r w:rsidRPr="00674FDE">
              <w:rPr>
                <w:rFonts w:ascii="Verdana" w:eastAsia="Times New Roman" w:hAnsi="Verdana" w:cs="Calibri"/>
                <w:color w:val="000000"/>
                <w:sz w:val="20"/>
                <w:szCs w:val="20"/>
                <w:lang w:val="es-CO" w:eastAsia="es-CO"/>
              </w:rPr>
              <w:t xml:space="preserve">deudor es </w:t>
            </w:r>
            <w:r>
              <w:rPr>
                <w:rFonts w:ascii="Verdana" w:eastAsia="Times New Roman" w:hAnsi="Verdana" w:cs="Calibri"/>
                <w:color w:val="000000"/>
                <w:sz w:val="20"/>
                <w:szCs w:val="20"/>
                <w:lang w:val="es-CO" w:eastAsia="es-CO"/>
              </w:rPr>
              <w:t xml:space="preserve">una </w:t>
            </w:r>
            <w:r w:rsidRPr="00230A06">
              <w:rPr>
                <w:rFonts w:ascii="Verdana" w:eastAsia="Times New Roman" w:hAnsi="Verdana" w:cs="Calibri"/>
                <w:color w:val="000000"/>
                <w:sz w:val="20"/>
                <w:szCs w:val="20"/>
                <w:lang w:val="es-CO" w:eastAsia="es-CO"/>
              </w:rPr>
              <w:t>en universalidad, debe utilizarse la siguiente codificación:</w:t>
            </w:r>
          </w:p>
          <w:p w14:paraId="34069658" w14:textId="77777777" w:rsidR="00674FDE" w:rsidRPr="00230A06" w:rsidRDefault="00674FDE" w:rsidP="00674FDE">
            <w:pPr>
              <w:jc w:val="both"/>
              <w:rPr>
                <w:rFonts w:ascii="Verdana" w:eastAsia="Times New Roman" w:hAnsi="Verdana" w:cs="Calibri"/>
                <w:color w:val="000000"/>
                <w:sz w:val="20"/>
                <w:szCs w:val="20"/>
                <w:lang w:val="es-CO" w:eastAsia="es-CO"/>
              </w:rPr>
            </w:pPr>
          </w:p>
          <w:p w14:paraId="485F0054" w14:textId="77777777" w:rsidR="00674FDE"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TTTCCCTTTNNNNNNNNNNNN </w:t>
            </w:r>
          </w:p>
          <w:p w14:paraId="142AB71D" w14:textId="2F78CD0C"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 xml:space="preserve"> </w:t>
            </w:r>
          </w:p>
          <w:p w14:paraId="45BF8151"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 tres caracteres corresponden al tipo de Entidad</w:t>
            </w:r>
          </w:p>
          <w:p w14:paraId="5ED0D997"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CCC tres caracteres corresponden al Código de Entidad</w:t>
            </w:r>
          </w:p>
          <w:p w14:paraId="0D38558B" w14:textId="77777777" w:rsidR="00674FDE" w:rsidRPr="00230A06" w:rsidRDefault="00674FDE" w:rsidP="00674FDE">
            <w:pPr>
              <w:jc w:val="both"/>
              <w:rPr>
                <w:rFonts w:ascii="Verdana" w:eastAsia="Times New Roman" w:hAnsi="Verdana" w:cs="Calibri"/>
                <w:color w:val="000000"/>
                <w:sz w:val="20"/>
                <w:szCs w:val="20"/>
                <w:lang w:val="es-CO" w:eastAsia="es-CO"/>
              </w:rPr>
            </w:pPr>
            <w:r w:rsidRPr="00230A06">
              <w:rPr>
                <w:rFonts w:ascii="Verdana" w:eastAsia="Times New Roman" w:hAnsi="Verdana" w:cs="Calibri"/>
                <w:color w:val="000000"/>
                <w:sz w:val="20"/>
                <w:szCs w:val="20"/>
                <w:lang w:val="es-CO" w:eastAsia="es-CO"/>
              </w:rPr>
              <w:t>TTT: tres caracteres corresponden al tipo de vehículo</w:t>
            </w:r>
          </w:p>
          <w:p w14:paraId="45366740" w14:textId="77777777" w:rsidR="00674FDE" w:rsidRDefault="00674FDE" w:rsidP="00674FDE">
            <w:pPr>
              <w:jc w:val="both"/>
              <w:rPr>
                <w:rFonts w:ascii="Verdana" w:eastAsia="Times New Roman" w:hAnsi="Verdana" w:cs="Calibri"/>
                <w:color w:val="000000"/>
                <w:sz w:val="20"/>
                <w:szCs w:val="20"/>
                <w:lang w:eastAsia="es-CO"/>
              </w:rPr>
            </w:pPr>
            <w:r w:rsidRPr="00230A06">
              <w:rPr>
                <w:rFonts w:ascii="Verdana" w:eastAsia="Times New Roman" w:hAnsi="Verdana" w:cs="Calibri"/>
                <w:color w:val="000000"/>
                <w:sz w:val="20"/>
                <w:szCs w:val="20"/>
                <w:lang w:val="es-CO" w:eastAsia="es-CO"/>
              </w:rPr>
              <w:t>NNNNNNNNNNNN: doce caracteres corresponden al código ANN del título valor inscrito.</w:t>
            </w:r>
          </w:p>
          <w:p w14:paraId="3BF2848A" w14:textId="77777777" w:rsidR="00674FDE" w:rsidRDefault="00674FDE" w:rsidP="00674FDE">
            <w:pPr>
              <w:jc w:val="both"/>
              <w:rPr>
                <w:rFonts w:ascii="Verdana" w:eastAsia="Times New Roman" w:hAnsi="Verdana" w:cs="Calibri"/>
                <w:color w:val="000000"/>
                <w:sz w:val="20"/>
                <w:szCs w:val="20"/>
                <w:lang w:eastAsia="es-CO"/>
              </w:rPr>
            </w:pPr>
          </w:p>
          <w:p w14:paraId="2928937A" w14:textId="39C6BDB7" w:rsidR="00674FDE" w:rsidRDefault="001F5B6D" w:rsidP="00674FDE">
            <w:pPr>
              <w:jc w:val="both"/>
              <w:outlineLvl w:val="0"/>
              <w:rPr>
                <w:rFonts w:ascii="Verdana" w:hAnsi="Verdana"/>
                <w:color w:val="000000"/>
                <w:sz w:val="20"/>
                <w:szCs w:val="20"/>
              </w:rPr>
            </w:pPr>
            <w:r>
              <w:rPr>
                <w:rFonts w:ascii="Verdana" w:hAnsi="Verdana"/>
                <w:color w:val="000000"/>
                <w:sz w:val="20"/>
                <w:szCs w:val="20"/>
              </w:rPr>
              <w:t>También es o</w:t>
            </w:r>
            <w:r w:rsidR="00674FDE">
              <w:rPr>
                <w:rFonts w:ascii="Verdana" w:hAnsi="Verdana"/>
                <w:color w:val="000000"/>
                <w:sz w:val="20"/>
                <w:szCs w:val="20"/>
              </w:rPr>
              <w:t xml:space="preserve">bligatorio para el reporte de que tratan los numerales </w:t>
            </w:r>
            <w:r w:rsidR="00B80BB2">
              <w:rPr>
                <w:rFonts w:ascii="Verdana" w:hAnsi="Verdana"/>
                <w:color w:val="000000"/>
                <w:sz w:val="20"/>
                <w:szCs w:val="20"/>
              </w:rPr>
              <w:t xml:space="preserve">14 (ii), </w:t>
            </w:r>
            <w:r w:rsidR="00674FDE">
              <w:rPr>
                <w:rFonts w:ascii="Verdana" w:hAnsi="Verdana"/>
                <w:color w:val="000000"/>
                <w:sz w:val="20"/>
                <w:szCs w:val="20"/>
              </w:rPr>
              <w:t>15, 16, 17</w:t>
            </w:r>
            <w:r w:rsidR="00F30C7C">
              <w:rPr>
                <w:rFonts w:ascii="Verdana" w:hAnsi="Verdana"/>
                <w:color w:val="000000"/>
                <w:sz w:val="20"/>
                <w:szCs w:val="20"/>
              </w:rPr>
              <w:t>,</w:t>
            </w:r>
            <w:r w:rsidR="005C68DC">
              <w:rPr>
                <w:rFonts w:ascii="Verdana" w:hAnsi="Verdana"/>
                <w:color w:val="000000"/>
                <w:sz w:val="20"/>
                <w:szCs w:val="20"/>
              </w:rPr>
              <w:t xml:space="preserve"> </w:t>
            </w:r>
            <w:r w:rsidR="00674FDE">
              <w:rPr>
                <w:rFonts w:ascii="Verdana" w:hAnsi="Verdana"/>
                <w:color w:val="000000"/>
                <w:sz w:val="20"/>
                <w:szCs w:val="20"/>
              </w:rPr>
              <w:t>18</w:t>
            </w:r>
            <w:r w:rsidR="005C68DC">
              <w:rPr>
                <w:rFonts w:ascii="Verdana" w:hAnsi="Verdana"/>
                <w:color w:val="000000"/>
                <w:sz w:val="20"/>
                <w:szCs w:val="20"/>
              </w:rPr>
              <w:t xml:space="preserve"> y 31</w:t>
            </w:r>
            <w:r w:rsidR="00674FDE">
              <w:rPr>
                <w:rFonts w:ascii="Verdana" w:hAnsi="Verdana"/>
                <w:color w:val="000000"/>
                <w:sz w:val="20"/>
                <w:szCs w:val="20"/>
              </w:rPr>
              <w:t xml:space="preserve"> de las </w:t>
            </w:r>
            <w:r w:rsidR="00674FDE" w:rsidRPr="00422DCE">
              <w:rPr>
                <w:rFonts w:ascii="Verdana" w:hAnsi="Verdana"/>
                <w:bCs/>
                <w:sz w:val="20"/>
                <w:szCs w:val="20"/>
              </w:rPr>
              <w:t>«</w:t>
            </w:r>
            <w:r w:rsidR="00674FDE" w:rsidRPr="00075DE0">
              <w:rPr>
                <w:rFonts w:ascii="Verdana" w:hAnsi="Verdana"/>
                <w:bCs/>
                <w:sz w:val="20"/>
                <w:szCs w:val="20"/>
              </w:rPr>
              <w:t>Re</w:t>
            </w:r>
            <w:r w:rsidR="00674FDE">
              <w:rPr>
                <w:rFonts w:ascii="Verdana" w:hAnsi="Verdana"/>
                <w:bCs/>
                <w:sz w:val="20"/>
                <w:szCs w:val="20"/>
              </w:rPr>
              <w:t>glas generales de diligenciamiento</w:t>
            </w:r>
            <w:r w:rsidR="00674FDE" w:rsidRPr="00BD40EF">
              <w:rPr>
                <w:rFonts w:ascii="Verdana" w:hAnsi="Verdana"/>
                <w:bCs/>
                <w:sz w:val="20"/>
                <w:szCs w:val="20"/>
              </w:rPr>
              <w:t>»</w:t>
            </w:r>
            <w:r w:rsidR="00674FDE">
              <w:rPr>
                <w:rFonts w:ascii="Verdana" w:hAnsi="Verdana"/>
                <w:bCs/>
                <w:sz w:val="20"/>
                <w:szCs w:val="20"/>
              </w:rPr>
              <w:t xml:space="preserve"> del presente documento.</w:t>
            </w:r>
          </w:p>
          <w:p w14:paraId="1E62BC45" w14:textId="1ABF3FB7" w:rsidR="00674FDE" w:rsidRPr="00976CC5" w:rsidRDefault="00674FDE" w:rsidP="00674FDE">
            <w:pPr>
              <w:jc w:val="both"/>
              <w:rPr>
                <w:rFonts w:ascii="Verdana" w:eastAsia="Times New Roman" w:hAnsi="Verdana" w:cs="Calibri"/>
                <w:color w:val="000000"/>
                <w:sz w:val="20"/>
                <w:szCs w:val="20"/>
                <w:lang w:val="es-CO" w:eastAsia="es-CO"/>
              </w:rPr>
            </w:pPr>
          </w:p>
        </w:tc>
      </w:tr>
      <w:tr w:rsidR="00663431" w:rsidRPr="00075DE0" w14:paraId="4090657F" w14:textId="77777777" w:rsidTr="00043CF1">
        <w:trPr>
          <w:trHeight w:val="1620"/>
        </w:trPr>
        <w:tc>
          <w:tcPr>
            <w:tcW w:w="1705" w:type="dxa"/>
            <w:vAlign w:val="center"/>
            <w:hideMark/>
          </w:tcPr>
          <w:p w14:paraId="63E38467"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lastRenderedPageBreak/>
              <w:t>Calificación crédito</w:t>
            </w:r>
          </w:p>
        </w:tc>
        <w:tc>
          <w:tcPr>
            <w:tcW w:w="3147" w:type="dxa"/>
            <w:vAlign w:val="center"/>
          </w:tcPr>
          <w:p w14:paraId="2A5B42E1"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calificacion_credito</w:t>
            </w:r>
          </w:p>
        </w:tc>
        <w:tc>
          <w:tcPr>
            <w:tcW w:w="4215" w:type="dxa"/>
            <w:vAlign w:val="center"/>
          </w:tcPr>
          <w:p w14:paraId="342D8B44" w14:textId="7D37FBBB" w:rsidR="00297CA4" w:rsidRDefault="00297CA4" w:rsidP="00297CA4">
            <w:pPr>
              <w:autoSpaceDE w:val="0"/>
              <w:autoSpaceDN w:val="0"/>
              <w:adjustRightInd w:val="0"/>
              <w:jc w:val="both"/>
              <w:rPr>
                <w:rFonts w:ascii="Verdana" w:eastAsia="Times New Roman" w:hAnsi="Verdana" w:cs="Calibri"/>
                <w:color w:val="000000"/>
                <w:sz w:val="20"/>
                <w:szCs w:val="20"/>
                <w:lang w:eastAsia="es-CO"/>
              </w:rPr>
            </w:pPr>
            <w:r w:rsidRPr="00851FD9">
              <w:rPr>
                <w:rFonts w:ascii="Verdana" w:eastAsia="Times New Roman" w:hAnsi="Verdana" w:cs="Calibri"/>
                <w:color w:val="000000"/>
                <w:sz w:val="20"/>
                <w:szCs w:val="20"/>
                <w:lang w:eastAsia="es-CO"/>
              </w:rPr>
              <w:t>Registre</w:t>
            </w:r>
            <w:r w:rsidR="00B26BF8">
              <w:rPr>
                <w:rFonts w:ascii="Verdana" w:eastAsia="Times New Roman" w:hAnsi="Verdana" w:cs="Calibri"/>
                <w:color w:val="000000"/>
                <w:sz w:val="20"/>
                <w:szCs w:val="20"/>
                <w:lang w:eastAsia="es-CO"/>
              </w:rPr>
              <w:t xml:space="preserve"> la</w:t>
            </w:r>
            <w:r w:rsidRPr="00851FD9">
              <w:rPr>
                <w:rFonts w:ascii="Verdana" w:eastAsia="Times New Roman" w:hAnsi="Verdana" w:cs="Calibri"/>
                <w:color w:val="000000"/>
                <w:sz w:val="20"/>
                <w:szCs w:val="20"/>
                <w:lang w:eastAsia="es-CO"/>
              </w:rPr>
              <w:t xml:space="preserve"> </w:t>
            </w:r>
            <w:r>
              <w:rPr>
                <w:rFonts w:ascii="Verdana" w:eastAsia="Times New Roman" w:hAnsi="Verdana" w:cs="Calibri"/>
                <w:color w:val="000000"/>
                <w:sz w:val="20"/>
                <w:szCs w:val="20"/>
                <w:lang w:eastAsia="es-CO"/>
              </w:rPr>
              <w:t>calificación otorgada al crédito de conformidad con las instrucciones</w:t>
            </w:r>
            <w:r w:rsidR="00104FBD">
              <w:rPr>
                <w:rFonts w:ascii="Verdana" w:eastAsia="Times New Roman" w:hAnsi="Verdana" w:cs="Calibri"/>
                <w:color w:val="000000"/>
                <w:sz w:val="20"/>
                <w:szCs w:val="20"/>
                <w:lang w:eastAsia="es-CO"/>
              </w:rPr>
              <w:t xml:space="preserve"> y homologaciones previstas en</w:t>
            </w:r>
            <w:r w:rsidR="00C54219">
              <w:rPr>
                <w:rFonts w:ascii="Verdana" w:eastAsia="Times New Roman" w:hAnsi="Verdana" w:cs="Calibri"/>
                <w:color w:val="000000"/>
                <w:sz w:val="20"/>
                <w:szCs w:val="20"/>
                <w:lang w:eastAsia="es-CO"/>
              </w:rPr>
              <w:t xml:space="preserve"> el </w:t>
            </w:r>
            <w:r w:rsidR="002378BA">
              <w:rPr>
                <w:rFonts w:ascii="Verdana" w:eastAsia="Times New Roman" w:hAnsi="Verdana" w:cs="Calibri"/>
                <w:color w:val="000000"/>
                <w:sz w:val="20"/>
                <w:szCs w:val="20"/>
                <w:lang w:eastAsia="es-CO"/>
              </w:rPr>
              <w:t>c</w:t>
            </w:r>
            <w:r w:rsidRPr="00851FD9">
              <w:rPr>
                <w:rFonts w:ascii="Verdana" w:eastAsia="Times New Roman" w:hAnsi="Verdana" w:cs="Calibri"/>
                <w:color w:val="000000"/>
                <w:sz w:val="20"/>
                <w:szCs w:val="20"/>
                <w:lang w:eastAsia="es-CO"/>
              </w:rPr>
              <w:t xml:space="preserve">apítulo XXXI </w:t>
            </w:r>
            <w:r w:rsidR="008D6CF2">
              <w:rPr>
                <w:rFonts w:ascii="Verdana" w:eastAsia="Times New Roman" w:hAnsi="Verdana" w:cs="Calibri"/>
                <w:color w:val="000000"/>
                <w:sz w:val="20"/>
                <w:szCs w:val="20"/>
                <w:lang w:eastAsia="es-CO"/>
              </w:rPr>
              <w:t>SIAR</w:t>
            </w:r>
            <w:r>
              <w:rPr>
                <w:rFonts w:ascii="Verdana" w:eastAsia="Times New Roman" w:hAnsi="Verdana" w:cs="Calibri"/>
                <w:color w:val="000000"/>
                <w:sz w:val="20"/>
                <w:szCs w:val="20"/>
                <w:lang w:eastAsia="es-CO"/>
              </w:rPr>
              <w:t xml:space="preserve"> </w:t>
            </w:r>
            <w:r w:rsidRPr="00851FD9">
              <w:rPr>
                <w:rFonts w:ascii="Verdana" w:eastAsia="Times New Roman" w:hAnsi="Verdana" w:cs="Calibri"/>
                <w:color w:val="000000"/>
                <w:sz w:val="20"/>
                <w:szCs w:val="20"/>
                <w:lang w:eastAsia="es-CO"/>
              </w:rPr>
              <w:t xml:space="preserve">de la </w:t>
            </w:r>
            <w:r>
              <w:rPr>
                <w:rFonts w:ascii="Verdana" w:eastAsia="Times New Roman" w:hAnsi="Verdana" w:cs="Calibri"/>
                <w:color w:val="000000"/>
                <w:sz w:val="20"/>
                <w:szCs w:val="20"/>
                <w:lang w:eastAsia="es-CO"/>
              </w:rPr>
              <w:t>CBCF.</w:t>
            </w:r>
          </w:p>
          <w:p w14:paraId="524478AF" w14:textId="77777777" w:rsidR="00297CA4" w:rsidRDefault="00297CA4" w:rsidP="00297CA4">
            <w:pPr>
              <w:autoSpaceDE w:val="0"/>
              <w:autoSpaceDN w:val="0"/>
              <w:adjustRightInd w:val="0"/>
              <w:jc w:val="both"/>
              <w:rPr>
                <w:rFonts w:ascii="Verdana" w:eastAsia="Times New Roman" w:hAnsi="Verdana" w:cs="Calibri"/>
                <w:color w:val="000000"/>
                <w:sz w:val="20"/>
                <w:szCs w:val="20"/>
                <w:lang w:eastAsia="es-CO"/>
              </w:rPr>
            </w:pPr>
          </w:p>
          <w:p w14:paraId="27D6A845" w14:textId="41DE4E00" w:rsidR="00297CA4" w:rsidRDefault="00297CA4" w:rsidP="00297CA4">
            <w:pPr>
              <w:autoSpaceDE w:val="0"/>
              <w:autoSpaceDN w:val="0"/>
              <w:adjustRightInd w:val="0"/>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 xml:space="preserve">Para </w:t>
            </w:r>
            <w:r w:rsidR="00C54219">
              <w:rPr>
                <w:rFonts w:ascii="Verdana" w:eastAsia="Times New Roman" w:hAnsi="Verdana" w:cs="Calibri"/>
                <w:color w:val="000000"/>
                <w:sz w:val="20"/>
                <w:szCs w:val="20"/>
                <w:lang w:eastAsia="es-CO"/>
              </w:rPr>
              <w:t>este reporte</w:t>
            </w:r>
            <w:r>
              <w:rPr>
                <w:rFonts w:ascii="Verdana" w:eastAsia="Times New Roman" w:hAnsi="Verdana" w:cs="Calibri"/>
                <w:color w:val="000000"/>
                <w:sz w:val="20"/>
                <w:szCs w:val="20"/>
                <w:lang w:eastAsia="es-CO"/>
              </w:rPr>
              <w:t xml:space="preserve">, se deben utilizar los códigos asignados a cada </w:t>
            </w:r>
            <w:r w:rsidR="00C54219">
              <w:rPr>
                <w:rFonts w:ascii="Verdana" w:eastAsia="Times New Roman" w:hAnsi="Verdana" w:cs="Calibri"/>
                <w:color w:val="000000"/>
                <w:sz w:val="20"/>
                <w:szCs w:val="20"/>
                <w:lang w:eastAsia="es-CO"/>
              </w:rPr>
              <w:t xml:space="preserve">calificación </w:t>
            </w:r>
            <w:r w:rsidRPr="00663431">
              <w:rPr>
                <w:rFonts w:ascii="Verdana" w:eastAsia="Times New Roman" w:hAnsi="Verdana" w:cs="Calibri"/>
                <w:color w:val="000000"/>
                <w:sz w:val="20"/>
                <w:szCs w:val="20"/>
                <w:lang w:eastAsia="es-CO"/>
              </w:rPr>
              <w:t xml:space="preserve">según la tabla </w:t>
            </w:r>
            <w:r w:rsidRPr="00663431">
              <w:rPr>
                <w:rFonts w:ascii="Verdana" w:hAnsi="Verdana"/>
                <w:bCs/>
                <w:sz w:val="20"/>
                <w:szCs w:val="20"/>
              </w:rPr>
              <w:t>«</w:t>
            </w:r>
            <w:r w:rsidR="00C54219">
              <w:rPr>
                <w:rFonts w:ascii="Verdana" w:hAnsi="Verdana"/>
                <w:bCs/>
                <w:sz w:val="20"/>
                <w:szCs w:val="20"/>
              </w:rPr>
              <w:t>Calificación de crédito</w:t>
            </w:r>
            <w:r w:rsidRPr="00663431">
              <w:rPr>
                <w:rFonts w:ascii="Verdana" w:hAnsi="Verdana"/>
                <w:bCs/>
                <w:sz w:val="20"/>
                <w:szCs w:val="20"/>
              </w:rPr>
              <w:t xml:space="preserve">» </w:t>
            </w:r>
            <w:r w:rsidRPr="00663431">
              <w:rPr>
                <w:rFonts w:ascii="Verdana" w:eastAsia="Times New Roman" w:hAnsi="Verdana" w:cs="Calibri"/>
                <w:color w:val="000000"/>
                <w:sz w:val="20"/>
                <w:szCs w:val="20"/>
                <w:lang w:eastAsia="es-CO"/>
              </w:rPr>
              <w:t>publicada</w:t>
            </w:r>
            <w:r>
              <w:rPr>
                <w:rFonts w:ascii="Verdana" w:eastAsia="Times New Roman" w:hAnsi="Verdana" w:cs="Calibri"/>
                <w:color w:val="000000"/>
                <w:sz w:val="20"/>
                <w:szCs w:val="20"/>
                <w:lang w:eastAsia="es-CO"/>
              </w:rPr>
              <w:t xml:space="preserve"> en</w:t>
            </w:r>
            <w:r w:rsidRPr="00663431">
              <w:rPr>
                <w:rFonts w:ascii="Verdana" w:eastAsia="Times New Roman" w:hAnsi="Verdana" w:cs="Calibri"/>
                <w:color w:val="000000"/>
                <w:sz w:val="20"/>
                <w:szCs w:val="20"/>
                <w:lang w:eastAsia="es-CO"/>
              </w:rPr>
              <w:t xml:space="preserve"> la página de la SFC</w:t>
            </w:r>
            <w:r>
              <w:rPr>
                <w:rFonts w:ascii="Verdana" w:eastAsia="Times New Roman" w:hAnsi="Verdana" w:cs="Calibri"/>
                <w:color w:val="000000"/>
                <w:sz w:val="20"/>
                <w:szCs w:val="20"/>
                <w:lang w:eastAsia="es-CO"/>
              </w:rPr>
              <w:t>, en la siguiente ruta</w:t>
            </w:r>
            <w:r w:rsidRPr="00663431">
              <w:rPr>
                <w:rFonts w:ascii="Verdana" w:eastAsia="Times New Roman" w:hAnsi="Verdana" w:cs="Calibri"/>
                <w:color w:val="000000"/>
                <w:sz w:val="20"/>
                <w:szCs w:val="20"/>
                <w:lang w:eastAsia="es-CO"/>
              </w:rPr>
              <w:t>:</w:t>
            </w:r>
          </w:p>
          <w:p w14:paraId="7102189C" w14:textId="77777777" w:rsidR="00297CA4" w:rsidRDefault="00297CA4" w:rsidP="00297CA4">
            <w:pPr>
              <w:autoSpaceDE w:val="0"/>
              <w:autoSpaceDN w:val="0"/>
              <w:adjustRightInd w:val="0"/>
              <w:jc w:val="both"/>
              <w:rPr>
                <w:rFonts w:ascii="Verdana" w:eastAsia="Times New Roman" w:hAnsi="Verdana" w:cs="Calibri"/>
                <w:color w:val="000000"/>
                <w:sz w:val="20"/>
                <w:szCs w:val="20"/>
                <w:lang w:eastAsia="es-CO"/>
              </w:rPr>
            </w:pPr>
          </w:p>
          <w:p w14:paraId="412F4935" w14:textId="16845729" w:rsidR="00663431" w:rsidRDefault="00297CA4" w:rsidP="00297CA4">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 </w:t>
            </w:r>
            <w:r w:rsidR="00547787">
              <w:rPr>
                <w:rFonts w:ascii="Verdana" w:hAnsi="Verdana" w:cs="Verdana"/>
                <w:i/>
                <w:iCs/>
                <w:sz w:val="20"/>
                <w:szCs w:val="20"/>
              </w:rPr>
              <w:t xml:space="preserve">Calificación de </w:t>
            </w:r>
            <w:r w:rsidR="003E3C28">
              <w:rPr>
                <w:rFonts w:ascii="Verdana" w:hAnsi="Verdana" w:cs="Verdana"/>
                <w:i/>
                <w:iCs/>
                <w:sz w:val="20"/>
                <w:szCs w:val="20"/>
              </w:rPr>
              <w:t>riesgo</w:t>
            </w:r>
            <w:r w:rsidR="007667D3">
              <w:rPr>
                <w:rFonts w:ascii="Verdana" w:hAnsi="Verdana" w:cs="Verdana"/>
                <w:i/>
                <w:iCs/>
                <w:sz w:val="20"/>
                <w:szCs w:val="20"/>
              </w:rPr>
              <w:t>s</w:t>
            </w:r>
          </w:p>
          <w:p w14:paraId="14D12563" w14:textId="77777777" w:rsidR="007B2628" w:rsidRDefault="007B2628" w:rsidP="00297CA4">
            <w:pPr>
              <w:jc w:val="both"/>
              <w:rPr>
                <w:rFonts w:ascii="Verdana" w:hAnsi="Verdana" w:cs="Verdana"/>
                <w:i/>
                <w:iCs/>
                <w:color w:val="000000"/>
                <w:sz w:val="20"/>
                <w:szCs w:val="20"/>
                <w:lang w:eastAsia="es-CO"/>
              </w:rPr>
            </w:pPr>
          </w:p>
          <w:p w14:paraId="0E65FEBD" w14:textId="05AD750E" w:rsidR="007B2628" w:rsidRDefault="007B2628" w:rsidP="00297CA4">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Sin perjuicio de lo anterior</w:t>
            </w:r>
            <w:r w:rsidR="00104FBD">
              <w:rPr>
                <w:rFonts w:ascii="Verdana" w:eastAsia="Times New Roman" w:hAnsi="Verdana" w:cs="Calibri"/>
                <w:color w:val="000000"/>
                <w:sz w:val="20"/>
                <w:szCs w:val="20"/>
                <w:lang w:eastAsia="es-CO"/>
              </w:rPr>
              <w:t xml:space="preserve">, para efectos de aplicar la tabla señalada anteriormente, las entidades deben </w:t>
            </w:r>
            <w:r w:rsidR="004A0B51">
              <w:rPr>
                <w:rFonts w:ascii="Verdana" w:eastAsia="Times New Roman" w:hAnsi="Verdana" w:cs="Calibri"/>
                <w:color w:val="000000"/>
                <w:sz w:val="20"/>
                <w:szCs w:val="20"/>
                <w:lang w:eastAsia="es-CO"/>
              </w:rPr>
              <w:t xml:space="preserve">utilizar </w:t>
            </w:r>
            <w:r w:rsidR="00104FBD">
              <w:rPr>
                <w:rFonts w:ascii="Verdana" w:eastAsia="Times New Roman" w:hAnsi="Verdana" w:cs="Calibri"/>
                <w:color w:val="000000"/>
                <w:sz w:val="20"/>
                <w:szCs w:val="20"/>
                <w:lang w:eastAsia="es-CO"/>
              </w:rPr>
              <w:t xml:space="preserve">las reglas de homologación de calificaciones previstas en el </w:t>
            </w:r>
            <w:r w:rsidR="008E79E6">
              <w:rPr>
                <w:rFonts w:ascii="Verdana" w:eastAsia="Times New Roman" w:hAnsi="Verdana" w:cs="Calibri"/>
                <w:color w:val="000000"/>
                <w:sz w:val="20"/>
                <w:szCs w:val="20"/>
                <w:lang w:eastAsia="es-CO"/>
              </w:rPr>
              <w:t>c</w:t>
            </w:r>
            <w:r w:rsidR="00104FBD" w:rsidRPr="00851FD9">
              <w:rPr>
                <w:rFonts w:ascii="Verdana" w:eastAsia="Times New Roman" w:hAnsi="Verdana" w:cs="Calibri"/>
                <w:color w:val="000000"/>
                <w:sz w:val="20"/>
                <w:szCs w:val="20"/>
                <w:lang w:eastAsia="es-CO"/>
              </w:rPr>
              <w:t xml:space="preserve">apítulo XXXI </w:t>
            </w:r>
            <w:r w:rsidR="008D6CF2">
              <w:rPr>
                <w:rFonts w:ascii="Verdana" w:eastAsia="Times New Roman" w:hAnsi="Verdana" w:cs="Calibri"/>
                <w:color w:val="000000"/>
                <w:sz w:val="20"/>
                <w:szCs w:val="20"/>
                <w:lang w:eastAsia="es-CO"/>
              </w:rPr>
              <w:t>SIAR</w:t>
            </w:r>
            <w:r w:rsidR="00104FBD">
              <w:rPr>
                <w:rFonts w:ascii="Verdana" w:eastAsia="Times New Roman" w:hAnsi="Verdana" w:cs="Calibri"/>
                <w:color w:val="000000"/>
                <w:sz w:val="20"/>
                <w:szCs w:val="20"/>
                <w:lang w:eastAsia="es-CO"/>
              </w:rPr>
              <w:t xml:space="preserve"> </w:t>
            </w:r>
            <w:r w:rsidR="00104FBD" w:rsidRPr="00851FD9">
              <w:rPr>
                <w:rFonts w:ascii="Verdana" w:eastAsia="Times New Roman" w:hAnsi="Verdana" w:cs="Calibri"/>
                <w:color w:val="000000"/>
                <w:sz w:val="20"/>
                <w:szCs w:val="20"/>
                <w:lang w:eastAsia="es-CO"/>
              </w:rPr>
              <w:t xml:space="preserve">de la </w:t>
            </w:r>
            <w:r w:rsidR="00104FBD">
              <w:rPr>
                <w:rFonts w:ascii="Verdana" w:eastAsia="Times New Roman" w:hAnsi="Verdana" w:cs="Calibri"/>
                <w:color w:val="000000"/>
                <w:sz w:val="20"/>
                <w:szCs w:val="20"/>
                <w:lang w:eastAsia="es-CO"/>
              </w:rPr>
              <w:t>CBCF.</w:t>
            </w:r>
          </w:p>
          <w:p w14:paraId="44649710" w14:textId="77777777" w:rsidR="0064698B" w:rsidRDefault="0064698B" w:rsidP="00297CA4">
            <w:pPr>
              <w:jc w:val="both"/>
              <w:rPr>
                <w:rFonts w:ascii="Verdana" w:eastAsia="Times New Roman" w:hAnsi="Verdana" w:cs="Calibri"/>
                <w:color w:val="000000"/>
                <w:sz w:val="20"/>
                <w:szCs w:val="20"/>
                <w:lang w:eastAsia="es-CO"/>
              </w:rPr>
            </w:pPr>
          </w:p>
          <w:p w14:paraId="0A2174F4" w14:textId="62C84618" w:rsidR="0064698B" w:rsidRPr="007B2628" w:rsidRDefault="00D0539A" w:rsidP="00297CA4">
            <w:pPr>
              <w:jc w:val="both"/>
              <w:rPr>
                <w:rFonts w:ascii="Verdana" w:eastAsia="Times New Roman" w:hAnsi="Verdana" w:cs="Calibri"/>
                <w:color w:val="000000"/>
                <w:sz w:val="20"/>
                <w:szCs w:val="20"/>
                <w:lang w:eastAsia="es-CO"/>
              </w:rPr>
            </w:pPr>
            <w:r>
              <w:rPr>
                <w:rFonts w:ascii="Verdana" w:hAnsi="Verdana"/>
                <w:color w:val="000000"/>
                <w:sz w:val="20"/>
                <w:szCs w:val="20"/>
              </w:rPr>
              <w:lastRenderedPageBreak/>
              <w:t>También es o</w:t>
            </w:r>
            <w:r w:rsidR="0064698B">
              <w:rPr>
                <w:rFonts w:ascii="Verdana" w:hAnsi="Verdana"/>
                <w:color w:val="000000"/>
                <w:sz w:val="20"/>
                <w:szCs w:val="20"/>
              </w:rPr>
              <w:t xml:space="preserve">bligatorio para el reporte de que tratan los numerales </w:t>
            </w:r>
            <w:r w:rsidR="00751D56">
              <w:rPr>
                <w:rFonts w:ascii="Verdana" w:hAnsi="Verdana"/>
                <w:color w:val="000000"/>
                <w:sz w:val="20"/>
                <w:szCs w:val="20"/>
              </w:rPr>
              <w:t xml:space="preserve">14 (ii), </w:t>
            </w:r>
            <w:r w:rsidR="0064698B">
              <w:rPr>
                <w:rFonts w:ascii="Verdana" w:hAnsi="Verdana"/>
                <w:color w:val="000000"/>
                <w:sz w:val="20"/>
                <w:szCs w:val="20"/>
              </w:rPr>
              <w:t>15</w:t>
            </w:r>
            <w:r w:rsidR="005F24B2">
              <w:rPr>
                <w:rFonts w:ascii="Verdana" w:hAnsi="Verdana"/>
                <w:color w:val="000000"/>
                <w:sz w:val="20"/>
                <w:szCs w:val="20"/>
              </w:rPr>
              <w:t>,</w:t>
            </w:r>
            <w:r w:rsidR="007F08F9">
              <w:rPr>
                <w:rFonts w:ascii="Verdana" w:hAnsi="Verdana"/>
                <w:color w:val="000000"/>
                <w:sz w:val="20"/>
                <w:szCs w:val="20"/>
              </w:rPr>
              <w:t xml:space="preserve"> </w:t>
            </w:r>
            <w:r w:rsidR="0064698B">
              <w:rPr>
                <w:rFonts w:ascii="Verdana" w:hAnsi="Verdana"/>
                <w:color w:val="000000"/>
                <w:sz w:val="20"/>
                <w:szCs w:val="20"/>
              </w:rPr>
              <w:t>18</w:t>
            </w:r>
            <w:r w:rsidR="005F24B2">
              <w:rPr>
                <w:rFonts w:ascii="Verdana" w:hAnsi="Verdana"/>
                <w:color w:val="000000"/>
                <w:sz w:val="20"/>
                <w:szCs w:val="20"/>
              </w:rPr>
              <w:t xml:space="preserve"> y 31</w:t>
            </w:r>
            <w:r w:rsidR="0064698B">
              <w:rPr>
                <w:rFonts w:ascii="Verdana" w:hAnsi="Verdana"/>
                <w:color w:val="000000"/>
                <w:sz w:val="20"/>
                <w:szCs w:val="20"/>
              </w:rPr>
              <w:t xml:space="preserve"> de las </w:t>
            </w:r>
            <w:r w:rsidR="0064698B" w:rsidRPr="00422DCE">
              <w:rPr>
                <w:rFonts w:ascii="Verdana" w:hAnsi="Verdana"/>
                <w:bCs/>
                <w:sz w:val="20"/>
                <w:szCs w:val="20"/>
              </w:rPr>
              <w:t>«</w:t>
            </w:r>
            <w:r w:rsidR="0064698B" w:rsidRPr="00075DE0">
              <w:rPr>
                <w:rFonts w:ascii="Verdana" w:hAnsi="Verdana"/>
                <w:bCs/>
                <w:sz w:val="20"/>
                <w:szCs w:val="20"/>
              </w:rPr>
              <w:t>Re</w:t>
            </w:r>
            <w:r w:rsidR="0064698B">
              <w:rPr>
                <w:rFonts w:ascii="Verdana" w:hAnsi="Verdana"/>
                <w:bCs/>
                <w:sz w:val="20"/>
                <w:szCs w:val="20"/>
              </w:rPr>
              <w:t>glas generales de diligenciamiento</w:t>
            </w:r>
            <w:r w:rsidR="0064698B" w:rsidRPr="00BD40EF">
              <w:rPr>
                <w:rFonts w:ascii="Verdana" w:hAnsi="Verdana"/>
                <w:bCs/>
                <w:sz w:val="20"/>
                <w:szCs w:val="20"/>
              </w:rPr>
              <w:t>»</w:t>
            </w:r>
            <w:r w:rsidR="0064698B">
              <w:rPr>
                <w:rFonts w:ascii="Verdana" w:hAnsi="Verdana"/>
                <w:bCs/>
                <w:sz w:val="20"/>
                <w:szCs w:val="20"/>
              </w:rPr>
              <w:t xml:space="preserve"> del presente documento.</w:t>
            </w:r>
          </w:p>
        </w:tc>
      </w:tr>
      <w:tr w:rsidR="00663431" w:rsidRPr="00075DE0" w14:paraId="6AE5AF04" w14:textId="77777777" w:rsidTr="00043CF1">
        <w:trPr>
          <w:trHeight w:val="1620"/>
        </w:trPr>
        <w:tc>
          <w:tcPr>
            <w:tcW w:w="1705" w:type="dxa"/>
            <w:vAlign w:val="center"/>
            <w:hideMark/>
          </w:tcPr>
          <w:p w14:paraId="7E927D18" w14:textId="14469FCC"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lastRenderedPageBreak/>
              <w:t xml:space="preserve">Estado del </w:t>
            </w:r>
            <w:r w:rsidR="002A3B64">
              <w:rPr>
                <w:rFonts w:ascii="Verdana" w:hAnsi="Verdana"/>
                <w:color w:val="000000"/>
                <w:sz w:val="20"/>
                <w:szCs w:val="20"/>
                <w:shd w:val="clear" w:color="auto" w:fill="FFFFFF"/>
              </w:rPr>
              <w:t>c</w:t>
            </w:r>
            <w:r w:rsidRPr="00075DE0">
              <w:rPr>
                <w:rFonts w:ascii="Verdana" w:hAnsi="Verdana"/>
                <w:color w:val="000000"/>
                <w:sz w:val="20"/>
                <w:szCs w:val="20"/>
                <w:shd w:val="clear" w:color="auto" w:fill="FFFFFF"/>
              </w:rPr>
              <w:t>rédito</w:t>
            </w:r>
          </w:p>
        </w:tc>
        <w:tc>
          <w:tcPr>
            <w:tcW w:w="3147" w:type="dxa"/>
            <w:vAlign w:val="center"/>
          </w:tcPr>
          <w:p w14:paraId="54D5F841"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estado</w:t>
            </w:r>
          </w:p>
        </w:tc>
        <w:tc>
          <w:tcPr>
            <w:tcW w:w="4215" w:type="dxa"/>
            <w:vAlign w:val="center"/>
          </w:tcPr>
          <w:p w14:paraId="3329BF21" w14:textId="074BFF3C"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código </w:t>
            </w:r>
            <w:r w:rsidR="00C616A8">
              <w:rPr>
                <w:rFonts w:ascii="Verdana" w:eastAsia="Times New Roman" w:hAnsi="Verdana" w:cs="Calibri"/>
                <w:color w:val="000000"/>
                <w:sz w:val="20"/>
                <w:szCs w:val="20"/>
                <w:lang w:eastAsia="es-CO"/>
              </w:rPr>
              <w:t xml:space="preserve">asignado al </w:t>
            </w:r>
            <w:r w:rsidRPr="00075DE0">
              <w:rPr>
                <w:rFonts w:ascii="Verdana" w:eastAsia="Times New Roman" w:hAnsi="Verdana" w:cs="Calibri"/>
                <w:color w:val="000000"/>
                <w:sz w:val="20"/>
                <w:szCs w:val="20"/>
                <w:lang w:eastAsia="es-CO"/>
              </w:rPr>
              <w:t xml:space="preserve">estado del crédito </w:t>
            </w:r>
            <w:r w:rsidR="00C616A8">
              <w:rPr>
                <w:rFonts w:ascii="Verdana" w:eastAsia="Times New Roman" w:hAnsi="Verdana" w:cs="Calibri"/>
                <w:color w:val="000000"/>
                <w:sz w:val="20"/>
                <w:szCs w:val="20"/>
                <w:lang w:eastAsia="es-CO"/>
              </w:rPr>
              <w:t xml:space="preserve">objeto de reporte, </w:t>
            </w:r>
            <w:r w:rsidRPr="00075DE0">
              <w:rPr>
                <w:rFonts w:ascii="Verdana" w:eastAsia="Times New Roman" w:hAnsi="Verdana" w:cs="Calibri"/>
                <w:color w:val="000000"/>
                <w:sz w:val="20"/>
                <w:szCs w:val="20"/>
                <w:lang w:eastAsia="es-CO"/>
              </w:rPr>
              <w:t xml:space="preserve">de acuerdo con la codificación publicada </w:t>
            </w:r>
            <w:r w:rsidR="00D65970">
              <w:rPr>
                <w:rFonts w:ascii="Verdana" w:eastAsia="Times New Roman" w:hAnsi="Verdana" w:cs="Calibri"/>
                <w:color w:val="000000"/>
                <w:sz w:val="20"/>
                <w:szCs w:val="20"/>
                <w:lang w:eastAsia="es-CO"/>
              </w:rPr>
              <w:t xml:space="preserve">en </w:t>
            </w:r>
            <w:r w:rsidRPr="00075DE0">
              <w:rPr>
                <w:rFonts w:ascii="Verdana" w:eastAsia="Times New Roman" w:hAnsi="Verdana" w:cs="Calibri"/>
                <w:color w:val="000000"/>
                <w:sz w:val="20"/>
                <w:szCs w:val="20"/>
                <w:lang w:eastAsia="es-CO"/>
              </w:rPr>
              <w:t>la página de la SFC</w:t>
            </w:r>
            <w:r w:rsidR="005638AA">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w:t>
            </w:r>
            <w:r w:rsidR="00C616A8">
              <w:rPr>
                <w:rFonts w:ascii="Verdana" w:eastAsia="Times New Roman" w:hAnsi="Verdana" w:cs="Calibri"/>
                <w:color w:val="000000"/>
                <w:sz w:val="20"/>
                <w:szCs w:val="20"/>
                <w:lang w:eastAsia="es-CO"/>
              </w:rPr>
              <w:t xml:space="preserve"> la sección</w:t>
            </w:r>
            <w:r>
              <w:rPr>
                <w:rFonts w:ascii="Verdana" w:eastAsia="Times New Roman" w:hAnsi="Verdana" w:cs="Calibri"/>
                <w:color w:val="000000"/>
                <w:sz w:val="20"/>
                <w:szCs w:val="20"/>
                <w:lang w:eastAsia="es-CO"/>
              </w:rPr>
              <w:t>:</w:t>
            </w:r>
          </w:p>
          <w:p w14:paraId="63961294" w14:textId="77777777" w:rsidR="00663431" w:rsidRDefault="00663431" w:rsidP="00663431">
            <w:pPr>
              <w:jc w:val="both"/>
              <w:rPr>
                <w:rFonts w:ascii="Verdana" w:eastAsia="Times New Roman" w:hAnsi="Verdana" w:cs="Calibri"/>
                <w:color w:val="000000"/>
                <w:sz w:val="20"/>
                <w:szCs w:val="20"/>
                <w:lang w:eastAsia="es-CO"/>
              </w:rPr>
            </w:pPr>
          </w:p>
          <w:p w14:paraId="34B7314B" w14:textId="77777777" w:rsidR="00E7488E" w:rsidRDefault="00C616A8" w:rsidP="00E7488E">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Movimientos de cartera</w:t>
            </w:r>
            <w:r w:rsidRPr="00B30AFB">
              <w:rPr>
                <w:rFonts w:ascii="Verdana" w:hAnsi="Verdana" w:cs="Verdana"/>
                <w:i/>
                <w:iCs/>
                <w:sz w:val="20"/>
                <w:szCs w:val="20"/>
              </w:rPr>
              <w:t xml:space="preserve">, hoja </w:t>
            </w:r>
            <w:r>
              <w:rPr>
                <w:rFonts w:ascii="Verdana" w:hAnsi="Verdana" w:cs="Verdana"/>
                <w:i/>
                <w:iCs/>
                <w:sz w:val="20"/>
                <w:szCs w:val="20"/>
              </w:rPr>
              <w:t>Estado</w:t>
            </w:r>
            <w:r w:rsidR="00E7488E">
              <w:rPr>
                <w:rFonts w:ascii="Verdana" w:hAnsi="Verdana" w:cs="Verdana"/>
                <w:i/>
                <w:iCs/>
                <w:sz w:val="20"/>
                <w:szCs w:val="20"/>
              </w:rPr>
              <w:t xml:space="preserve"> del crédito</w:t>
            </w:r>
          </w:p>
          <w:p w14:paraId="7163099B" w14:textId="77777777" w:rsidR="00461320" w:rsidRDefault="00461320" w:rsidP="00E7488E">
            <w:pPr>
              <w:jc w:val="both"/>
              <w:rPr>
                <w:rFonts w:ascii="Verdana" w:hAnsi="Verdana" w:cs="Verdana"/>
                <w:i/>
                <w:iCs/>
                <w:sz w:val="20"/>
                <w:szCs w:val="20"/>
              </w:rPr>
            </w:pPr>
          </w:p>
          <w:p w14:paraId="7BD58E7C" w14:textId="0C974A21" w:rsidR="0016353C" w:rsidRDefault="00631222" w:rsidP="0016353C">
            <w:pPr>
              <w:jc w:val="both"/>
              <w:outlineLvl w:val="0"/>
              <w:rPr>
                <w:rFonts w:ascii="Verdana" w:hAnsi="Verdana"/>
                <w:color w:val="000000"/>
                <w:sz w:val="20"/>
                <w:szCs w:val="20"/>
              </w:rPr>
            </w:pPr>
            <w:r>
              <w:rPr>
                <w:rFonts w:ascii="Verdana" w:hAnsi="Verdana"/>
                <w:color w:val="000000"/>
                <w:sz w:val="20"/>
                <w:szCs w:val="20"/>
              </w:rPr>
              <w:t>También es o</w:t>
            </w:r>
            <w:r w:rsidR="0016353C">
              <w:rPr>
                <w:rFonts w:ascii="Verdana" w:hAnsi="Verdana"/>
                <w:color w:val="000000"/>
                <w:sz w:val="20"/>
                <w:szCs w:val="20"/>
              </w:rPr>
              <w:t xml:space="preserve">bligatorio para el reporte de que tratan los numerales 16, 17 y 18 de las </w:t>
            </w:r>
            <w:r w:rsidR="0016353C" w:rsidRPr="00422DCE">
              <w:rPr>
                <w:rFonts w:ascii="Verdana" w:hAnsi="Verdana"/>
                <w:bCs/>
                <w:sz w:val="20"/>
                <w:szCs w:val="20"/>
              </w:rPr>
              <w:t>«</w:t>
            </w:r>
            <w:r w:rsidR="0016353C" w:rsidRPr="00075DE0">
              <w:rPr>
                <w:rFonts w:ascii="Verdana" w:hAnsi="Verdana"/>
                <w:bCs/>
                <w:sz w:val="20"/>
                <w:szCs w:val="20"/>
              </w:rPr>
              <w:t>Re</w:t>
            </w:r>
            <w:r w:rsidR="0016353C">
              <w:rPr>
                <w:rFonts w:ascii="Verdana" w:hAnsi="Verdana"/>
                <w:bCs/>
                <w:sz w:val="20"/>
                <w:szCs w:val="20"/>
              </w:rPr>
              <w:t>glas generales de diligenciamiento</w:t>
            </w:r>
            <w:r w:rsidR="0016353C" w:rsidRPr="00BD40EF">
              <w:rPr>
                <w:rFonts w:ascii="Verdana" w:hAnsi="Verdana"/>
                <w:bCs/>
                <w:sz w:val="20"/>
                <w:szCs w:val="20"/>
              </w:rPr>
              <w:t>»</w:t>
            </w:r>
            <w:r w:rsidR="0016353C">
              <w:rPr>
                <w:rFonts w:ascii="Verdana" w:hAnsi="Verdana"/>
                <w:bCs/>
                <w:sz w:val="20"/>
                <w:szCs w:val="20"/>
              </w:rPr>
              <w:t xml:space="preserve"> del presente documento.</w:t>
            </w:r>
          </w:p>
          <w:p w14:paraId="2FA1BD3E" w14:textId="7CFB9BB2" w:rsidR="00461320" w:rsidRPr="00E7488E" w:rsidRDefault="00461320" w:rsidP="00E7488E">
            <w:pPr>
              <w:jc w:val="both"/>
              <w:rPr>
                <w:rFonts w:ascii="Verdana" w:hAnsi="Verdana" w:cs="Verdana"/>
                <w:i/>
                <w:iCs/>
                <w:sz w:val="20"/>
                <w:szCs w:val="20"/>
              </w:rPr>
            </w:pPr>
          </w:p>
        </w:tc>
      </w:tr>
      <w:tr w:rsidR="00663431" w:rsidRPr="00075DE0" w14:paraId="5F831412" w14:textId="77777777" w:rsidTr="00043CF1">
        <w:trPr>
          <w:trHeight w:val="1620"/>
        </w:trPr>
        <w:tc>
          <w:tcPr>
            <w:tcW w:w="1705" w:type="dxa"/>
            <w:vAlign w:val="center"/>
            <w:hideMark/>
          </w:tcPr>
          <w:p w14:paraId="08780ED6" w14:textId="3E3A0098" w:rsidR="00663431" w:rsidRPr="00075DE0" w:rsidRDefault="00BB0027" w:rsidP="00663431">
            <w:pPr>
              <w:jc w:val="center"/>
              <w:rPr>
                <w:rFonts w:ascii="Verdana" w:eastAsia="Times New Roman" w:hAnsi="Verdana" w:cs="Calibri"/>
                <w:sz w:val="20"/>
                <w:szCs w:val="20"/>
                <w:lang w:eastAsia="es-CO"/>
              </w:rPr>
            </w:pPr>
            <w:r>
              <w:rPr>
                <w:rFonts w:ascii="Verdana" w:hAnsi="Verdana"/>
                <w:color w:val="000000"/>
                <w:sz w:val="20"/>
                <w:szCs w:val="20"/>
                <w:shd w:val="clear" w:color="auto" w:fill="FFFFFF"/>
              </w:rPr>
              <w:t>P</w:t>
            </w:r>
            <w:r w:rsidR="00663431" w:rsidRPr="00075DE0">
              <w:rPr>
                <w:rFonts w:ascii="Verdana" w:hAnsi="Verdana"/>
                <w:color w:val="000000"/>
                <w:sz w:val="20"/>
                <w:szCs w:val="20"/>
                <w:shd w:val="clear" w:color="auto" w:fill="FFFFFF"/>
              </w:rPr>
              <w:t xml:space="preserve">eriodos de </w:t>
            </w:r>
            <w:r w:rsidR="002A3B64">
              <w:rPr>
                <w:rFonts w:ascii="Verdana" w:hAnsi="Verdana"/>
                <w:color w:val="000000"/>
                <w:sz w:val="20"/>
                <w:szCs w:val="20"/>
                <w:shd w:val="clear" w:color="auto" w:fill="FFFFFF"/>
              </w:rPr>
              <w:t>g</w:t>
            </w:r>
            <w:r w:rsidR="00663431" w:rsidRPr="00075DE0">
              <w:rPr>
                <w:rFonts w:ascii="Verdana" w:hAnsi="Verdana"/>
                <w:color w:val="000000"/>
                <w:sz w:val="20"/>
                <w:szCs w:val="20"/>
                <w:shd w:val="clear" w:color="auto" w:fill="FFFFFF"/>
              </w:rPr>
              <w:t>racia</w:t>
            </w:r>
          </w:p>
        </w:tc>
        <w:tc>
          <w:tcPr>
            <w:tcW w:w="3147" w:type="dxa"/>
            <w:vAlign w:val="center"/>
          </w:tcPr>
          <w:p w14:paraId="00DDEE41"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periodo_gracia</w:t>
            </w:r>
          </w:p>
        </w:tc>
        <w:tc>
          <w:tcPr>
            <w:tcW w:w="4215" w:type="dxa"/>
            <w:vAlign w:val="center"/>
          </w:tcPr>
          <w:p w14:paraId="15CBE48D" w14:textId="08B82B65"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código del periodo de gracia</w:t>
            </w:r>
            <w:r w:rsidR="00C97003">
              <w:rPr>
                <w:rFonts w:ascii="Verdana" w:eastAsia="Times New Roman" w:hAnsi="Verdana" w:cs="Calibri"/>
                <w:color w:val="000000"/>
                <w:sz w:val="20"/>
                <w:szCs w:val="20"/>
                <w:lang w:eastAsia="es-CO"/>
              </w:rPr>
              <w:t xml:space="preserve"> dado al crédito, en caso de ser aplicable, </w:t>
            </w:r>
            <w:r w:rsidRPr="00075DE0">
              <w:rPr>
                <w:rFonts w:ascii="Verdana" w:eastAsia="Times New Roman" w:hAnsi="Verdana" w:cs="Calibri"/>
                <w:color w:val="000000"/>
                <w:sz w:val="20"/>
                <w:szCs w:val="20"/>
                <w:lang w:eastAsia="es-CO"/>
              </w:rPr>
              <w:t>de acuerdo con la codificación de periodo de gracia publicada la página de la SFC en</w:t>
            </w:r>
            <w:r w:rsidR="00C97003">
              <w:rPr>
                <w:rFonts w:ascii="Verdana" w:eastAsia="Times New Roman" w:hAnsi="Verdana" w:cs="Calibri"/>
                <w:color w:val="000000"/>
                <w:sz w:val="20"/>
                <w:szCs w:val="20"/>
                <w:lang w:eastAsia="es-CO"/>
              </w:rPr>
              <w:t xml:space="preserve"> la sección</w:t>
            </w:r>
            <w:r>
              <w:rPr>
                <w:rFonts w:ascii="Verdana" w:eastAsia="Times New Roman" w:hAnsi="Verdana" w:cs="Calibri"/>
                <w:color w:val="000000"/>
                <w:sz w:val="20"/>
                <w:szCs w:val="20"/>
                <w:lang w:eastAsia="es-CO"/>
              </w:rPr>
              <w:t>:</w:t>
            </w:r>
          </w:p>
          <w:p w14:paraId="4A0BA94C" w14:textId="77777777" w:rsidR="00663431" w:rsidRDefault="00663431" w:rsidP="00663431">
            <w:pPr>
              <w:jc w:val="both"/>
              <w:rPr>
                <w:rFonts w:ascii="Verdana" w:eastAsia="Times New Roman" w:hAnsi="Verdana" w:cs="Calibri"/>
                <w:color w:val="000000"/>
                <w:sz w:val="20"/>
                <w:szCs w:val="20"/>
                <w:lang w:eastAsia="es-CO"/>
              </w:rPr>
            </w:pPr>
          </w:p>
          <w:p w14:paraId="1E863C1F" w14:textId="77777777" w:rsidR="00663431" w:rsidRDefault="00C97003" w:rsidP="00663431">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Movimientos de cartera</w:t>
            </w:r>
            <w:r w:rsidRPr="00B30AFB">
              <w:rPr>
                <w:rFonts w:ascii="Verdana" w:hAnsi="Verdana" w:cs="Verdana"/>
                <w:i/>
                <w:iCs/>
                <w:sz w:val="20"/>
                <w:szCs w:val="20"/>
              </w:rPr>
              <w:t xml:space="preserve">, hoja </w:t>
            </w:r>
            <w:r>
              <w:rPr>
                <w:rFonts w:ascii="Verdana" w:hAnsi="Verdana" w:cs="Verdana"/>
                <w:i/>
                <w:iCs/>
                <w:sz w:val="20"/>
                <w:szCs w:val="20"/>
              </w:rPr>
              <w:t>Periodos de gracia</w:t>
            </w:r>
          </w:p>
          <w:p w14:paraId="02EBB2B6" w14:textId="77777777" w:rsidR="001C00C5" w:rsidRDefault="001C00C5" w:rsidP="00663431">
            <w:pPr>
              <w:jc w:val="both"/>
              <w:rPr>
                <w:rFonts w:ascii="Verdana" w:hAnsi="Verdana" w:cs="Verdana"/>
                <w:i/>
                <w:iCs/>
                <w:sz w:val="20"/>
                <w:szCs w:val="20"/>
              </w:rPr>
            </w:pPr>
          </w:p>
          <w:p w14:paraId="6EB0A8E2" w14:textId="5A9FE8AE" w:rsidR="0028526F" w:rsidRDefault="00631222" w:rsidP="0028526F">
            <w:pPr>
              <w:jc w:val="both"/>
              <w:outlineLvl w:val="0"/>
              <w:rPr>
                <w:rFonts w:ascii="Verdana" w:hAnsi="Verdana"/>
                <w:color w:val="000000"/>
                <w:sz w:val="20"/>
                <w:szCs w:val="20"/>
              </w:rPr>
            </w:pPr>
            <w:r>
              <w:rPr>
                <w:rFonts w:ascii="Verdana" w:hAnsi="Verdana"/>
                <w:color w:val="000000"/>
                <w:sz w:val="20"/>
                <w:szCs w:val="20"/>
              </w:rPr>
              <w:t>También es o</w:t>
            </w:r>
            <w:r w:rsidR="0028526F">
              <w:rPr>
                <w:rFonts w:ascii="Verdana" w:hAnsi="Verdana"/>
                <w:color w:val="000000"/>
                <w:sz w:val="20"/>
                <w:szCs w:val="20"/>
              </w:rPr>
              <w:t xml:space="preserve">bligatorio para el reporte de que tratan los numerales 16, 17 y 18 de las </w:t>
            </w:r>
            <w:r w:rsidR="0028526F" w:rsidRPr="00422DCE">
              <w:rPr>
                <w:rFonts w:ascii="Verdana" w:hAnsi="Verdana"/>
                <w:bCs/>
                <w:sz w:val="20"/>
                <w:szCs w:val="20"/>
              </w:rPr>
              <w:t>«</w:t>
            </w:r>
            <w:r w:rsidR="0028526F" w:rsidRPr="00075DE0">
              <w:rPr>
                <w:rFonts w:ascii="Verdana" w:hAnsi="Verdana"/>
                <w:bCs/>
                <w:sz w:val="20"/>
                <w:szCs w:val="20"/>
              </w:rPr>
              <w:t>Re</w:t>
            </w:r>
            <w:r w:rsidR="0028526F">
              <w:rPr>
                <w:rFonts w:ascii="Verdana" w:hAnsi="Verdana"/>
                <w:bCs/>
                <w:sz w:val="20"/>
                <w:szCs w:val="20"/>
              </w:rPr>
              <w:t>glas generales de diligenciamiento</w:t>
            </w:r>
            <w:r w:rsidR="0028526F" w:rsidRPr="00BD40EF">
              <w:rPr>
                <w:rFonts w:ascii="Verdana" w:hAnsi="Verdana"/>
                <w:bCs/>
                <w:sz w:val="20"/>
                <w:szCs w:val="20"/>
              </w:rPr>
              <w:t>»</w:t>
            </w:r>
            <w:r w:rsidR="0028526F">
              <w:rPr>
                <w:rFonts w:ascii="Verdana" w:hAnsi="Verdana"/>
                <w:bCs/>
                <w:sz w:val="20"/>
                <w:szCs w:val="20"/>
              </w:rPr>
              <w:t xml:space="preserve"> del presente documento.</w:t>
            </w:r>
          </w:p>
          <w:p w14:paraId="5D09E42A" w14:textId="67B51268" w:rsidR="001C00C5" w:rsidRPr="00075DE0" w:rsidRDefault="001C00C5" w:rsidP="00663431">
            <w:pPr>
              <w:jc w:val="both"/>
              <w:rPr>
                <w:rFonts w:ascii="Verdana" w:eastAsia="Times New Roman" w:hAnsi="Verdana" w:cs="Calibri"/>
                <w:color w:val="000000" w:themeColor="text1"/>
                <w:sz w:val="20"/>
                <w:szCs w:val="20"/>
                <w:lang w:eastAsia="es-CO"/>
              </w:rPr>
            </w:pPr>
          </w:p>
        </w:tc>
      </w:tr>
      <w:tr w:rsidR="00663431" w:rsidRPr="00075DE0" w14:paraId="1EE5870C" w14:textId="77777777" w:rsidTr="00043CF1">
        <w:trPr>
          <w:trHeight w:val="702"/>
        </w:trPr>
        <w:tc>
          <w:tcPr>
            <w:tcW w:w="1705" w:type="dxa"/>
            <w:vAlign w:val="center"/>
            <w:hideMark/>
          </w:tcPr>
          <w:p w14:paraId="42A5E2A9" w14:textId="60ECE25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Días de </w:t>
            </w:r>
            <w:r w:rsidR="002A3B64">
              <w:rPr>
                <w:rFonts w:ascii="Verdana" w:hAnsi="Verdana"/>
                <w:color w:val="000000"/>
                <w:sz w:val="20"/>
                <w:szCs w:val="20"/>
                <w:shd w:val="clear" w:color="auto" w:fill="FFFFFF"/>
              </w:rPr>
              <w:t>m</w:t>
            </w:r>
            <w:r w:rsidRPr="00075DE0">
              <w:rPr>
                <w:rFonts w:ascii="Verdana" w:hAnsi="Verdana"/>
                <w:color w:val="000000"/>
                <w:sz w:val="20"/>
                <w:szCs w:val="20"/>
                <w:shd w:val="clear" w:color="auto" w:fill="FFFFFF"/>
              </w:rPr>
              <w:t>ora</w:t>
            </w:r>
          </w:p>
        </w:tc>
        <w:tc>
          <w:tcPr>
            <w:tcW w:w="3147" w:type="dxa"/>
            <w:vAlign w:val="center"/>
          </w:tcPr>
          <w:p w14:paraId="70F54B5A"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dias_mora</w:t>
            </w:r>
          </w:p>
        </w:tc>
        <w:tc>
          <w:tcPr>
            <w:tcW w:w="4215" w:type="dxa"/>
            <w:vAlign w:val="center"/>
          </w:tcPr>
          <w:p w14:paraId="2E43D4CB"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número de días de mora</w:t>
            </w:r>
            <w:r w:rsidR="005B7DF6">
              <w:rPr>
                <w:rFonts w:ascii="Verdana" w:eastAsia="Times New Roman" w:hAnsi="Verdana" w:cs="Calibri"/>
                <w:color w:val="000000"/>
                <w:sz w:val="20"/>
                <w:szCs w:val="20"/>
                <w:lang w:eastAsia="es-CO"/>
              </w:rPr>
              <w:t>, e</w:t>
            </w:r>
            <w:r w:rsidR="00FB53A5">
              <w:rPr>
                <w:rFonts w:ascii="Verdana" w:eastAsia="Times New Roman" w:hAnsi="Verdana" w:cs="Calibri"/>
                <w:color w:val="000000"/>
                <w:sz w:val="20"/>
                <w:szCs w:val="20"/>
                <w:lang w:eastAsia="es-CO"/>
              </w:rPr>
              <w:t>s decir, los días</w:t>
            </w:r>
            <w:r w:rsidRPr="00075DE0">
              <w:rPr>
                <w:rFonts w:ascii="Verdana" w:eastAsia="Times New Roman" w:hAnsi="Verdana" w:cs="Calibri"/>
                <w:color w:val="000000"/>
                <w:sz w:val="20"/>
                <w:szCs w:val="20"/>
                <w:lang w:eastAsia="es-CO"/>
              </w:rPr>
              <w:t xml:space="preserve"> </w:t>
            </w:r>
            <w:r w:rsidR="00FB53A5">
              <w:rPr>
                <w:rFonts w:ascii="Verdana" w:eastAsia="Times New Roman" w:hAnsi="Verdana" w:cs="Calibri"/>
                <w:color w:val="000000"/>
                <w:sz w:val="20"/>
                <w:szCs w:val="20"/>
                <w:lang w:eastAsia="es-CO"/>
              </w:rPr>
              <w:t>en los que</w:t>
            </w:r>
            <w:r w:rsidRPr="00075DE0">
              <w:rPr>
                <w:rFonts w:ascii="Verdana" w:eastAsia="Times New Roman" w:hAnsi="Verdana" w:cs="Calibri"/>
                <w:color w:val="000000"/>
                <w:sz w:val="20"/>
                <w:szCs w:val="20"/>
                <w:lang w:eastAsia="es-CO"/>
              </w:rPr>
              <w:t xml:space="preserve"> el deudor ha retrasado sus pagos más allá de la fecha de vencimiento.  En caso de que la obligación no presente días de mora, registre 0</w:t>
            </w:r>
            <w:r>
              <w:rPr>
                <w:rFonts w:ascii="Verdana" w:eastAsia="Times New Roman" w:hAnsi="Verdana" w:cs="Calibri"/>
                <w:color w:val="000000"/>
                <w:sz w:val="20"/>
                <w:szCs w:val="20"/>
                <w:lang w:eastAsia="es-CO"/>
              </w:rPr>
              <w:t>.</w:t>
            </w:r>
          </w:p>
          <w:p w14:paraId="00CF8B56" w14:textId="77777777" w:rsidR="00B31033" w:rsidRDefault="00B31033" w:rsidP="00663431">
            <w:pPr>
              <w:jc w:val="both"/>
              <w:rPr>
                <w:rFonts w:ascii="Verdana" w:eastAsia="Times New Roman" w:hAnsi="Verdana" w:cs="Calibri"/>
                <w:color w:val="000000" w:themeColor="text1"/>
                <w:sz w:val="20"/>
                <w:szCs w:val="20"/>
                <w:lang w:eastAsia="es-CO"/>
              </w:rPr>
            </w:pPr>
          </w:p>
          <w:p w14:paraId="0D58B35C" w14:textId="484E926B" w:rsidR="00B31033" w:rsidRPr="00075DE0" w:rsidRDefault="00631222" w:rsidP="001516CC">
            <w:pPr>
              <w:jc w:val="both"/>
              <w:outlineLvl w:val="0"/>
              <w:rPr>
                <w:rFonts w:ascii="Verdana" w:eastAsia="Times New Roman" w:hAnsi="Verdana" w:cs="Calibri"/>
                <w:color w:val="000000" w:themeColor="text1"/>
                <w:sz w:val="20"/>
                <w:szCs w:val="20"/>
                <w:lang w:eastAsia="es-CO"/>
              </w:rPr>
            </w:pPr>
            <w:r>
              <w:rPr>
                <w:rFonts w:ascii="Verdana" w:hAnsi="Verdana"/>
                <w:color w:val="000000"/>
                <w:sz w:val="20"/>
                <w:szCs w:val="20"/>
              </w:rPr>
              <w:t>También es o</w:t>
            </w:r>
            <w:r w:rsidR="004D0D92">
              <w:rPr>
                <w:rFonts w:ascii="Verdana" w:hAnsi="Verdana"/>
                <w:color w:val="000000"/>
                <w:sz w:val="20"/>
                <w:szCs w:val="20"/>
              </w:rPr>
              <w:t xml:space="preserve">bligatorio para el reporte de que tratan los numerales </w:t>
            </w:r>
            <w:r w:rsidR="00F27F32">
              <w:rPr>
                <w:rFonts w:ascii="Verdana" w:hAnsi="Verdana"/>
                <w:color w:val="000000"/>
                <w:sz w:val="20"/>
                <w:szCs w:val="20"/>
              </w:rPr>
              <w:t xml:space="preserve">14 (ii), </w:t>
            </w:r>
            <w:r w:rsidR="004D0D92">
              <w:rPr>
                <w:rFonts w:ascii="Verdana" w:hAnsi="Verdana"/>
                <w:color w:val="000000"/>
                <w:sz w:val="20"/>
                <w:szCs w:val="20"/>
              </w:rPr>
              <w:t>15, 16, 17</w:t>
            </w:r>
            <w:r w:rsidR="000C6385">
              <w:rPr>
                <w:rFonts w:ascii="Verdana" w:hAnsi="Verdana"/>
                <w:color w:val="000000"/>
                <w:sz w:val="20"/>
                <w:szCs w:val="20"/>
              </w:rPr>
              <w:t xml:space="preserve">, </w:t>
            </w:r>
            <w:r w:rsidR="004D0D92">
              <w:rPr>
                <w:rFonts w:ascii="Verdana" w:hAnsi="Verdana"/>
                <w:color w:val="000000"/>
                <w:sz w:val="20"/>
                <w:szCs w:val="20"/>
              </w:rPr>
              <w:t>18</w:t>
            </w:r>
            <w:r w:rsidR="000C6385">
              <w:rPr>
                <w:rFonts w:ascii="Verdana" w:hAnsi="Verdana"/>
                <w:color w:val="000000"/>
                <w:sz w:val="20"/>
                <w:szCs w:val="20"/>
              </w:rPr>
              <w:t xml:space="preserve"> y 31</w:t>
            </w:r>
            <w:r w:rsidR="004D0D92">
              <w:rPr>
                <w:rFonts w:ascii="Verdana" w:hAnsi="Verdana"/>
                <w:color w:val="000000"/>
                <w:sz w:val="20"/>
                <w:szCs w:val="20"/>
              </w:rPr>
              <w:t xml:space="preserve"> de las </w:t>
            </w:r>
            <w:r w:rsidR="004D0D92" w:rsidRPr="00422DCE">
              <w:rPr>
                <w:rFonts w:ascii="Verdana" w:hAnsi="Verdana"/>
                <w:bCs/>
                <w:sz w:val="20"/>
                <w:szCs w:val="20"/>
              </w:rPr>
              <w:t>«</w:t>
            </w:r>
            <w:r w:rsidR="004D0D92" w:rsidRPr="00075DE0">
              <w:rPr>
                <w:rFonts w:ascii="Verdana" w:hAnsi="Verdana"/>
                <w:bCs/>
                <w:sz w:val="20"/>
                <w:szCs w:val="20"/>
              </w:rPr>
              <w:t>Re</w:t>
            </w:r>
            <w:r w:rsidR="004D0D92">
              <w:rPr>
                <w:rFonts w:ascii="Verdana" w:hAnsi="Verdana"/>
                <w:bCs/>
                <w:sz w:val="20"/>
                <w:szCs w:val="20"/>
              </w:rPr>
              <w:t>glas generales de diligenciamiento</w:t>
            </w:r>
            <w:r w:rsidR="004D0D92" w:rsidRPr="00BD40EF">
              <w:rPr>
                <w:rFonts w:ascii="Verdana" w:hAnsi="Verdana"/>
                <w:bCs/>
                <w:sz w:val="20"/>
                <w:szCs w:val="20"/>
              </w:rPr>
              <w:t>»</w:t>
            </w:r>
            <w:r w:rsidR="004D0D92">
              <w:rPr>
                <w:rFonts w:ascii="Verdana" w:hAnsi="Verdana"/>
                <w:bCs/>
                <w:sz w:val="20"/>
                <w:szCs w:val="20"/>
              </w:rPr>
              <w:t xml:space="preserve"> del presente documento.</w:t>
            </w:r>
          </w:p>
        </w:tc>
      </w:tr>
      <w:tr w:rsidR="00663431" w:rsidRPr="00075DE0" w14:paraId="47E9DCF8" w14:textId="77777777" w:rsidTr="00043CF1">
        <w:trPr>
          <w:trHeight w:val="1620"/>
        </w:trPr>
        <w:tc>
          <w:tcPr>
            <w:tcW w:w="1705" w:type="dxa"/>
            <w:vAlign w:val="center"/>
            <w:hideMark/>
          </w:tcPr>
          <w:p w14:paraId="667A9ACB" w14:textId="65CF92EE"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lastRenderedPageBreak/>
              <w:t xml:space="preserve">Tasa de </w:t>
            </w:r>
            <w:r w:rsidR="002A3B64">
              <w:rPr>
                <w:rFonts w:ascii="Verdana" w:hAnsi="Verdana"/>
                <w:color w:val="000000"/>
                <w:sz w:val="20"/>
                <w:szCs w:val="20"/>
                <w:shd w:val="clear" w:color="auto" w:fill="FFFFFF"/>
              </w:rPr>
              <w:t>i</w:t>
            </w:r>
            <w:r w:rsidRPr="00075DE0">
              <w:rPr>
                <w:rFonts w:ascii="Verdana" w:hAnsi="Verdana"/>
                <w:color w:val="000000"/>
                <w:sz w:val="20"/>
                <w:szCs w:val="20"/>
                <w:shd w:val="clear" w:color="auto" w:fill="FFFFFF"/>
              </w:rPr>
              <w:t>nterés</w:t>
            </w:r>
          </w:p>
        </w:tc>
        <w:tc>
          <w:tcPr>
            <w:tcW w:w="3147" w:type="dxa"/>
            <w:vAlign w:val="center"/>
          </w:tcPr>
          <w:p w14:paraId="089149DF"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tasa_interes</w:t>
            </w:r>
          </w:p>
        </w:tc>
        <w:tc>
          <w:tcPr>
            <w:tcW w:w="4215" w:type="dxa"/>
            <w:vAlign w:val="center"/>
          </w:tcPr>
          <w:p w14:paraId="2BB0D997" w14:textId="3AE0AF3A"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porcentaje que se cobra sobre el capital del crédito </w:t>
            </w:r>
            <w:r>
              <w:rPr>
                <w:rFonts w:ascii="Verdana" w:eastAsia="Times New Roman" w:hAnsi="Verdana" w:cs="Calibri"/>
                <w:color w:val="000000"/>
                <w:sz w:val="20"/>
                <w:szCs w:val="20"/>
                <w:lang w:eastAsia="es-CO"/>
              </w:rPr>
              <w:t>por</w:t>
            </w:r>
            <w:r w:rsidRPr="00075DE0">
              <w:rPr>
                <w:rFonts w:ascii="Verdana" w:eastAsia="Times New Roman" w:hAnsi="Verdana" w:cs="Calibri"/>
                <w:color w:val="000000"/>
                <w:sz w:val="20"/>
                <w:szCs w:val="20"/>
                <w:lang w:eastAsia="es-CO"/>
              </w:rPr>
              <w:t xml:space="preserve"> concepto de intereses. </w:t>
            </w:r>
            <w:r>
              <w:rPr>
                <w:rFonts w:ascii="Verdana" w:eastAsia="Times New Roman" w:hAnsi="Verdana" w:cs="Calibri"/>
                <w:color w:val="000000"/>
                <w:sz w:val="20"/>
                <w:szCs w:val="20"/>
                <w:lang w:eastAsia="es-CO"/>
              </w:rPr>
              <w:t>Este porcentaje debe corresponder a la t</w:t>
            </w:r>
            <w:r w:rsidRPr="00075DE0">
              <w:rPr>
                <w:rFonts w:ascii="Verdana" w:eastAsia="Times New Roman" w:hAnsi="Verdana" w:cs="Calibri"/>
                <w:color w:val="000000"/>
                <w:sz w:val="20"/>
                <w:szCs w:val="20"/>
                <w:lang w:eastAsia="es-CO"/>
              </w:rPr>
              <w:t xml:space="preserve">asa </w:t>
            </w:r>
            <w:r>
              <w:rPr>
                <w:rFonts w:ascii="Verdana" w:eastAsia="Times New Roman" w:hAnsi="Verdana" w:cs="Calibri"/>
                <w:color w:val="000000"/>
                <w:sz w:val="20"/>
                <w:szCs w:val="20"/>
                <w:lang w:eastAsia="es-CO"/>
              </w:rPr>
              <w:t>e</w:t>
            </w:r>
            <w:r w:rsidRPr="00075DE0">
              <w:rPr>
                <w:rFonts w:ascii="Verdana" w:eastAsia="Times New Roman" w:hAnsi="Verdana" w:cs="Calibri"/>
                <w:color w:val="000000"/>
                <w:sz w:val="20"/>
                <w:szCs w:val="20"/>
                <w:lang w:eastAsia="es-CO"/>
              </w:rPr>
              <w:t xml:space="preserve">fectiva </w:t>
            </w:r>
            <w:r>
              <w:rPr>
                <w:rFonts w:ascii="Verdana" w:eastAsia="Times New Roman" w:hAnsi="Verdana" w:cs="Calibri"/>
                <w:color w:val="000000"/>
                <w:sz w:val="20"/>
                <w:szCs w:val="20"/>
                <w:lang w:eastAsia="es-CO"/>
              </w:rPr>
              <w:t>a</w:t>
            </w:r>
            <w:r w:rsidRPr="00075DE0">
              <w:rPr>
                <w:rFonts w:ascii="Verdana" w:eastAsia="Times New Roman" w:hAnsi="Verdana" w:cs="Calibri"/>
                <w:color w:val="000000"/>
                <w:sz w:val="20"/>
                <w:szCs w:val="20"/>
                <w:lang w:eastAsia="es-CO"/>
              </w:rPr>
              <w:t xml:space="preserve">nual en la fecha </w:t>
            </w:r>
            <w:r w:rsidR="002C1F38">
              <w:rPr>
                <w:rFonts w:ascii="Verdana" w:eastAsia="Times New Roman" w:hAnsi="Verdana" w:cs="Calibri"/>
                <w:color w:val="000000"/>
                <w:sz w:val="20"/>
                <w:szCs w:val="20"/>
                <w:lang w:eastAsia="es-CO"/>
              </w:rPr>
              <w:t xml:space="preserve">de </w:t>
            </w:r>
            <w:r w:rsidRPr="00075DE0">
              <w:rPr>
                <w:rFonts w:ascii="Verdana" w:eastAsia="Times New Roman" w:hAnsi="Verdana" w:cs="Calibri"/>
                <w:color w:val="000000"/>
                <w:sz w:val="20"/>
                <w:szCs w:val="20"/>
                <w:lang w:eastAsia="es-CO"/>
              </w:rPr>
              <w:t>corte determinada</w:t>
            </w:r>
            <w:r>
              <w:rPr>
                <w:rFonts w:ascii="Verdana" w:eastAsia="Times New Roman" w:hAnsi="Verdana" w:cs="Calibri"/>
                <w:color w:val="000000"/>
                <w:sz w:val="20"/>
                <w:szCs w:val="20"/>
                <w:lang w:eastAsia="es-CO"/>
              </w:rPr>
              <w:t>.</w:t>
            </w:r>
          </w:p>
          <w:p w14:paraId="3A983E16" w14:textId="77777777" w:rsidR="00663431" w:rsidRDefault="00663431" w:rsidP="00663431">
            <w:pPr>
              <w:jc w:val="both"/>
              <w:rPr>
                <w:rFonts w:ascii="Verdana" w:eastAsia="Times New Roman" w:hAnsi="Verdana" w:cs="Calibri"/>
                <w:color w:val="000000"/>
                <w:sz w:val="20"/>
                <w:szCs w:val="20"/>
                <w:lang w:eastAsia="es-CO"/>
              </w:rPr>
            </w:pPr>
          </w:p>
          <w:p w14:paraId="7D92AFB9" w14:textId="77777777" w:rsidR="00663431" w:rsidRDefault="00663431" w:rsidP="00663431">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Para los créditos estipulados en UVR, sólo se debe reportar la tasa de interés efectivamente pactada, sin ajustes por variaciones en la UVR.</w:t>
            </w:r>
          </w:p>
          <w:p w14:paraId="7F6C5553" w14:textId="77777777" w:rsidR="00663431" w:rsidRDefault="00663431" w:rsidP="00663431">
            <w:pPr>
              <w:jc w:val="both"/>
              <w:rPr>
                <w:rFonts w:ascii="Verdana" w:eastAsia="Times New Roman" w:hAnsi="Verdana" w:cs="Calibri"/>
                <w:color w:val="000000"/>
                <w:sz w:val="20"/>
                <w:szCs w:val="20"/>
                <w:lang w:eastAsia="es-CO"/>
              </w:rPr>
            </w:pPr>
          </w:p>
          <w:p w14:paraId="072FDE50" w14:textId="77777777" w:rsidR="00663431" w:rsidRDefault="00663431" w:rsidP="00663431">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 xml:space="preserve">Para los créditos con tasa de interés variable, registre el valor de la tasa aplicada, incluyendo el margen respecto de la tasa de referencia. </w:t>
            </w:r>
          </w:p>
          <w:p w14:paraId="1CE5BF71" w14:textId="77777777" w:rsidR="00B31033" w:rsidRDefault="00B31033" w:rsidP="00663431">
            <w:pPr>
              <w:jc w:val="both"/>
              <w:rPr>
                <w:rFonts w:ascii="Verdana" w:eastAsia="Times New Roman" w:hAnsi="Verdana" w:cs="Calibri"/>
                <w:color w:val="000000"/>
                <w:sz w:val="20"/>
                <w:szCs w:val="20"/>
                <w:lang w:eastAsia="es-CO"/>
              </w:rPr>
            </w:pPr>
          </w:p>
          <w:p w14:paraId="4AA44A11" w14:textId="36FB8836" w:rsidR="0002089F" w:rsidRDefault="00631222" w:rsidP="0002089F">
            <w:pPr>
              <w:jc w:val="both"/>
              <w:outlineLvl w:val="0"/>
              <w:rPr>
                <w:rFonts w:ascii="Verdana" w:hAnsi="Verdana"/>
                <w:color w:val="000000"/>
                <w:sz w:val="20"/>
                <w:szCs w:val="20"/>
              </w:rPr>
            </w:pPr>
            <w:r>
              <w:rPr>
                <w:rFonts w:ascii="Verdana" w:hAnsi="Verdana"/>
                <w:color w:val="000000"/>
                <w:sz w:val="20"/>
                <w:szCs w:val="20"/>
              </w:rPr>
              <w:t>También es o</w:t>
            </w:r>
            <w:r w:rsidR="0002089F">
              <w:rPr>
                <w:rFonts w:ascii="Verdana" w:hAnsi="Verdana"/>
                <w:color w:val="000000"/>
                <w:sz w:val="20"/>
                <w:szCs w:val="20"/>
              </w:rPr>
              <w:t>bligatorio para el reporte de que tratan los numerales 16, 17</w:t>
            </w:r>
            <w:r w:rsidR="00637A31">
              <w:rPr>
                <w:rFonts w:ascii="Verdana" w:hAnsi="Verdana"/>
                <w:color w:val="000000"/>
                <w:sz w:val="20"/>
                <w:szCs w:val="20"/>
              </w:rPr>
              <w:t>,</w:t>
            </w:r>
            <w:r w:rsidR="00064B26">
              <w:rPr>
                <w:rFonts w:ascii="Verdana" w:hAnsi="Verdana"/>
                <w:color w:val="000000"/>
                <w:sz w:val="20"/>
                <w:szCs w:val="20"/>
              </w:rPr>
              <w:t xml:space="preserve"> </w:t>
            </w:r>
            <w:r w:rsidR="0002089F">
              <w:rPr>
                <w:rFonts w:ascii="Verdana" w:hAnsi="Verdana"/>
                <w:color w:val="000000"/>
                <w:sz w:val="20"/>
                <w:szCs w:val="20"/>
              </w:rPr>
              <w:t>18</w:t>
            </w:r>
            <w:r w:rsidR="00637A31">
              <w:rPr>
                <w:rFonts w:ascii="Verdana" w:hAnsi="Verdana"/>
                <w:color w:val="000000"/>
                <w:sz w:val="20"/>
                <w:szCs w:val="20"/>
              </w:rPr>
              <w:t xml:space="preserve"> y 31</w:t>
            </w:r>
            <w:r w:rsidR="0002089F">
              <w:rPr>
                <w:rFonts w:ascii="Verdana" w:hAnsi="Verdana"/>
                <w:color w:val="000000"/>
                <w:sz w:val="20"/>
                <w:szCs w:val="20"/>
              </w:rPr>
              <w:t xml:space="preserve"> de las </w:t>
            </w:r>
            <w:r w:rsidR="0002089F" w:rsidRPr="00422DCE">
              <w:rPr>
                <w:rFonts w:ascii="Verdana" w:hAnsi="Verdana"/>
                <w:bCs/>
                <w:sz w:val="20"/>
                <w:szCs w:val="20"/>
              </w:rPr>
              <w:t>«</w:t>
            </w:r>
            <w:r w:rsidR="0002089F" w:rsidRPr="00075DE0">
              <w:rPr>
                <w:rFonts w:ascii="Verdana" w:hAnsi="Verdana"/>
                <w:bCs/>
                <w:sz w:val="20"/>
                <w:szCs w:val="20"/>
              </w:rPr>
              <w:t>Re</w:t>
            </w:r>
            <w:r w:rsidR="0002089F">
              <w:rPr>
                <w:rFonts w:ascii="Verdana" w:hAnsi="Verdana"/>
                <w:bCs/>
                <w:sz w:val="20"/>
                <w:szCs w:val="20"/>
              </w:rPr>
              <w:t>glas generales de diligenciamiento</w:t>
            </w:r>
            <w:r w:rsidR="0002089F" w:rsidRPr="00BD40EF">
              <w:rPr>
                <w:rFonts w:ascii="Verdana" w:hAnsi="Verdana"/>
                <w:bCs/>
                <w:sz w:val="20"/>
                <w:szCs w:val="20"/>
              </w:rPr>
              <w:t>»</w:t>
            </w:r>
            <w:r w:rsidR="0002089F">
              <w:rPr>
                <w:rFonts w:ascii="Verdana" w:hAnsi="Verdana"/>
                <w:bCs/>
                <w:sz w:val="20"/>
                <w:szCs w:val="20"/>
              </w:rPr>
              <w:t xml:space="preserve"> del presente documento.</w:t>
            </w:r>
          </w:p>
          <w:p w14:paraId="48CBA79C" w14:textId="2879916D" w:rsidR="00B31033" w:rsidRPr="00075DE0" w:rsidRDefault="00B31033" w:rsidP="00663431">
            <w:pPr>
              <w:jc w:val="both"/>
              <w:rPr>
                <w:rFonts w:ascii="Verdana" w:eastAsia="Times New Roman" w:hAnsi="Verdana" w:cs="Calibri"/>
                <w:color w:val="000000"/>
                <w:sz w:val="20"/>
                <w:szCs w:val="20"/>
                <w:lang w:eastAsia="es-CO"/>
              </w:rPr>
            </w:pPr>
          </w:p>
        </w:tc>
      </w:tr>
      <w:tr w:rsidR="00663431" w:rsidRPr="00075DE0" w14:paraId="37E35B74" w14:textId="77777777" w:rsidTr="00043CF1">
        <w:trPr>
          <w:trHeight w:val="1620"/>
        </w:trPr>
        <w:tc>
          <w:tcPr>
            <w:tcW w:w="1705" w:type="dxa"/>
            <w:vAlign w:val="center"/>
            <w:hideMark/>
          </w:tcPr>
          <w:p w14:paraId="71CEF301" w14:textId="20CF8F9B"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Spread </w:t>
            </w:r>
            <w:r w:rsidR="002A3B64">
              <w:rPr>
                <w:rFonts w:ascii="Verdana" w:hAnsi="Verdana"/>
                <w:color w:val="000000"/>
                <w:sz w:val="20"/>
                <w:szCs w:val="20"/>
                <w:shd w:val="clear" w:color="auto" w:fill="FFFFFF"/>
              </w:rPr>
              <w:t>t</w:t>
            </w:r>
            <w:r w:rsidRPr="00075DE0">
              <w:rPr>
                <w:rFonts w:ascii="Verdana" w:hAnsi="Verdana"/>
                <w:color w:val="000000"/>
                <w:sz w:val="20"/>
                <w:szCs w:val="20"/>
                <w:shd w:val="clear" w:color="auto" w:fill="FFFFFF"/>
              </w:rPr>
              <w:t xml:space="preserve">asa de </w:t>
            </w:r>
            <w:r w:rsidR="002A3B64">
              <w:rPr>
                <w:rFonts w:ascii="Verdana" w:hAnsi="Verdana"/>
                <w:color w:val="000000"/>
                <w:sz w:val="20"/>
                <w:szCs w:val="20"/>
                <w:shd w:val="clear" w:color="auto" w:fill="FFFFFF"/>
              </w:rPr>
              <w:t>i</w:t>
            </w:r>
            <w:r w:rsidRPr="00075DE0">
              <w:rPr>
                <w:rFonts w:ascii="Verdana" w:hAnsi="Verdana"/>
                <w:color w:val="000000"/>
                <w:sz w:val="20"/>
                <w:szCs w:val="20"/>
                <w:shd w:val="clear" w:color="auto" w:fill="FFFFFF"/>
              </w:rPr>
              <w:t>nterés</w:t>
            </w:r>
          </w:p>
        </w:tc>
        <w:tc>
          <w:tcPr>
            <w:tcW w:w="3147" w:type="dxa"/>
            <w:vAlign w:val="center"/>
          </w:tcPr>
          <w:p w14:paraId="2B4D5032"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spread_tasa_interes</w:t>
            </w:r>
          </w:p>
        </w:tc>
        <w:tc>
          <w:tcPr>
            <w:tcW w:w="4215" w:type="dxa"/>
            <w:vAlign w:val="center"/>
          </w:tcPr>
          <w:p w14:paraId="3634375A"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la diferencia entre la tasa </w:t>
            </w:r>
            <w:r w:rsidR="007A6C6C">
              <w:rPr>
                <w:rFonts w:ascii="Verdana" w:eastAsia="Times New Roman" w:hAnsi="Verdana" w:cs="Calibri"/>
                <w:color w:val="000000"/>
                <w:sz w:val="20"/>
                <w:szCs w:val="20"/>
                <w:lang w:eastAsia="es-CO"/>
              </w:rPr>
              <w:t xml:space="preserve">efectiva </w:t>
            </w:r>
            <w:r w:rsidR="00A440E2">
              <w:rPr>
                <w:rFonts w:ascii="Verdana" w:eastAsia="Times New Roman" w:hAnsi="Verdana" w:cs="Calibri"/>
                <w:color w:val="000000"/>
                <w:sz w:val="20"/>
                <w:szCs w:val="20"/>
                <w:lang w:eastAsia="es-CO"/>
              </w:rPr>
              <w:t xml:space="preserve">anual </w:t>
            </w:r>
            <w:r w:rsidRPr="00075DE0">
              <w:rPr>
                <w:rFonts w:ascii="Verdana" w:eastAsia="Times New Roman" w:hAnsi="Verdana" w:cs="Calibri"/>
                <w:color w:val="000000"/>
                <w:sz w:val="20"/>
                <w:szCs w:val="20"/>
                <w:lang w:eastAsia="es-CO"/>
              </w:rPr>
              <w:t xml:space="preserve">de interés aplicada y </w:t>
            </w:r>
            <w:r w:rsidR="00333EFC">
              <w:rPr>
                <w:rFonts w:ascii="Verdana" w:eastAsia="Times New Roman" w:hAnsi="Verdana" w:cs="Calibri"/>
                <w:color w:val="000000"/>
                <w:sz w:val="20"/>
                <w:szCs w:val="20"/>
                <w:lang w:eastAsia="es-CO"/>
              </w:rPr>
              <w:t>l</w:t>
            </w:r>
            <w:r w:rsidRPr="00075DE0">
              <w:rPr>
                <w:rFonts w:ascii="Verdana" w:eastAsia="Times New Roman" w:hAnsi="Verdana" w:cs="Calibri"/>
                <w:color w:val="000000"/>
                <w:sz w:val="20"/>
                <w:szCs w:val="20"/>
                <w:lang w:eastAsia="es-CO"/>
              </w:rPr>
              <w:t xml:space="preserve">a tasa </w:t>
            </w:r>
            <w:r w:rsidR="003E27EC">
              <w:rPr>
                <w:rFonts w:ascii="Verdana" w:eastAsia="Times New Roman" w:hAnsi="Verdana" w:cs="Calibri"/>
                <w:color w:val="000000"/>
                <w:sz w:val="20"/>
                <w:szCs w:val="20"/>
                <w:lang w:eastAsia="es-CO"/>
              </w:rPr>
              <w:t xml:space="preserve">variable </w:t>
            </w:r>
            <w:r w:rsidRPr="00075DE0">
              <w:rPr>
                <w:rFonts w:ascii="Verdana" w:eastAsia="Times New Roman" w:hAnsi="Verdana" w:cs="Calibri"/>
                <w:color w:val="000000"/>
                <w:sz w:val="20"/>
                <w:szCs w:val="20"/>
                <w:lang w:eastAsia="es-CO"/>
              </w:rPr>
              <w:t>de referencia en la fecha corte determinada</w:t>
            </w:r>
            <w:r>
              <w:rPr>
                <w:rFonts w:ascii="Verdana" w:eastAsia="Times New Roman" w:hAnsi="Verdana" w:cs="Calibri"/>
                <w:color w:val="000000"/>
                <w:sz w:val="20"/>
                <w:szCs w:val="20"/>
                <w:lang w:eastAsia="es-CO"/>
              </w:rPr>
              <w:t>.</w:t>
            </w:r>
          </w:p>
          <w:p w14:paraId="0EDEC470" w14:textId="77777777" w:rsidR="00B31033" w:rsidRDefault="00B31033" w:rsidP="00663431">
            <w:pPr>
              <w:jc w:val="both"/>
              <w:rPr>
                <w:rFonts w:ascii="Verdana" w:eastAsia="Times New Roman" w:hAnsi="Verdana" w:cs="Calibri"/>
                <w:color w:val="000000" w:themeColor="text1"/>
                <w:sz w:val="20"/>
                <w:szCs w:val="20"/>
                <w:lang w:eastAsia="es-CO"/>
              </w:rPr>
            </w:pPr>
          </w:p>
          <w:p w14:paraId="7AD0F21C" w14:textId="2834D759" w:rsidR="0002089F" w:rsidRDefault="00631222" w:rsidP="0002089F">
            <w:pPr>
              <w:jc w:val="both"/>
              <w:outlineLvl w:val="0"/>
              <w:rPr>
                <w:rFonts w:ascii="Verdana" w:hAnsi="Verdana"/>
                <w:color w:val="000000"/>
                <w:sz w:val="20"/>
                <w:szCs w:val="20"/>
              </w:rPr>
            </w:pPr>
            <w:r>
              <w:rPr>
                <w:rFonts w:ascii="Verdana" w:hAnsi="Verdana"/>
                <w:color w:val="000000"/>
                <w:sz w:val="20"/>
                <w:szCs w:val="20"/>
              </w:rPr>
              <w:t>También es o</w:t>
            </w:r>
            <w:r w:rsidR="0002089F">
              <w:rPr>
                <w:rFonts w:ascii="Verdana" w:hAnsi="Verdana"/>
                <w:color w:val="000000"/>
                <w:sz w:val="20"/>
                <w:szCs w:val="20"/>
              </w:rPr>
              <w:t xml:space="preserve">bligatorio para el reporte de que tratan los numerales 16, 17 y 18 de las </w:t>
            </w:r>
            <w:r w:rsidR="0002089F" w:rsidRPr="00422DCE">
              <w:rPr>
                <w:rFonts w:ascii="Verdana" w:hAnsi="Verdana"/>
                <w:bCs/>
                <w:sz w:val="20"/>
                <w:szCs w:val="20"/>
              </w:rPr>
              <w:t>«</w:t>
            </w:r>
            <w:r w:rsidR="0002089F" w:rsidRPr="00075DE0">
              <w:rPr>
                <w:rFonts w:ascii="Verdana" w:hAnsi="Verdana"/>
                <w:bCs/>
                <w:sz w:val="20"/>
                <w:szCs w:val="20"/>
              </w:rPr>
              <w:t>Re</w:t>
            </w:r>
            <w:r w:rsidR="0002089F">
              <w:rPr>
                <w:rFonts w:ascii="Verdana" w:hAnsi="Verdana"/>
                <w:bCs/>
                <w:sz w:val="20"/>
                <w:szCs w:val="20"/>
              </w:rPr>
              <w:t>glas generales de diligenciamiento</w:t>
            </w:r>
            <w:r w:rsidR="0002089F" w:rsidRPr="00BD40EF">
              <w:rPr>
                <w:rFonts w:ascii="Verdana" w:hAnsi="Verdana"/>
                <w:bCs/>
                <w:sz w:val="20"/>
                <w:szCs w:val="20"/>
              </w:rPr>
              <w:t>»</w:t>
            </w:r>
            <w:r w:rsidR="0002089F">
              <w:rPr>
                <w:rFonts w:ascii="Verdana" w:hAnsi="Verdana"/>
                <w:bCs/>
                <w:sz w:val="20"/>
                <w:szCs w:val="20"/>
              </w:rPr>
              <w:t xml:space="preserve"> del presente documento.</w:t>
            </w:r>
          </w:p>
          <w:p w14:paraId="500A581E" w14:textId="4E46F945" w:rsidR="00B31033" w:rsidRPr="00075DE0" w:rsidRDefault="00B31033" w:rsidP="00663431">
            <w:pPr>
              <w:jc w:val="both"/>
              <w:rPr>
                <w:rFonts w:ascii="Verdana" w:eastAsia="Times New Roman" w:hAnsi="Verdana" w:cs="Calibri"/>
                <w:color w:val="000000" w:themeColor="text1"/>
                <w:sz w:val="20"/>
                <w:szCs w:val="20"/>
                <w:lang w:eastAsia="es-CO"/>
              </w:rPr>
            </w:pPr>
          </w:p>
        </w:tc>
      </w:tr>
      <w:tr w:rsidR="00663431" w:rsidRPr="00075DE0" w14:paraId="185D91C5" w14:textId="77777777" w:rsidTr="00043CF1">
        <w:trPr>
          <w:trHeight w:val="1620"/>
        </w:trPr>
        <w:tc>
          <w:tcPr>
            <w:tcW w:w="1705" w:type="dxa"/>
            <w:vAlign w:val="center"/>
            <w:hideMark/>
          </w:tcPr>
          <w:p w14:paraId="283841D7"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Capital</w:t>
            </w:r>
          </w:p>
        </w:tc>
        <w:tc>
          <w:tcPr>
            <w:tcW w:w="3147" w:type="dxa"/>
            <w:vAlign w:val="center"/>
          </w:tcPr>
          <w:p w14:paraId="1142A0A3"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saldo_capital</w:t>
            </w:r>
          </w:p>
        </w:tc>
        <w:tc>
          <w:tcPr>
            <w:tcW w:w="4215" w:type="dxa"/>
            <w:vAlign w:val="center"/>
          </w:tcPr>
          <w:p w14:paraId="0DF2FCB3"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saldo del préstamo concedido al deudor en la fecha corte determinada</w:t>
            </w:r>
            <w:r>
              <w:rPr>
                <w:rFonts w:ascii="Verdana" w:eastAsia="Times New Roman" w:hAnsi="Verdana" w:cs="Calibri"/>
                <w:color w:val="000000"/>
                <w:sz w:val="20"/>
                <w:szCs w:val="20"/>
                <w:lang w:eastAsia="es-CO"/>
              </w:rPr>
              <w:t>.</w:t>
            </w:r>
          </w:p>
          <w:p w14:paraId="5A896DC4" w14:textId="77777777" w:rsidR="00B31033" w:rsidRDefault="00B31033" w:rsidP="00663431">
            <w:pPr>
              <w:jc w:val="both"/>
              <w:rPr>
                <w:rFonts w:ascii="Verdana" w:eastAsia="Times New Roman" w:hAnsi="Verdana" w:cs="Calibri"/>
                <w:color w:val="000000"/>
                <w:sz w:val="20"/>
                <w:szCs w:val="20"/>
                <w:lang w:eastAsia="es-CO"/>
              </w:rPr>
            </w:pPr>
          </w:p>
          <w:p w14:paraId="68F41039" w14:textId="5A483D4E" w:rsidR="00B46754" w:rsidRDefault="00631222" w:rsidP="00B46754">
            <w:pPr>
              <w:jc w:val="both"/>
              <w:outlineLvl w:val="0"/>
              <w:rPr>
                <w:rFonts w:ascii="Verdana" w:hAnsi="Verdana"/>
                <w:color w:val="000000"/>
                <w:sz w:val="20"/>
                <w:szCs w:val="20"/>
              </w:rPr>
            </w:pPr>
            <w:r>
              <w:rPr>
                <w:rFonts w:ascii="Verdana" w:hAnsi="Verdana"/>
                <w:color w:val="000000"/>
                <w:sz w:val="20"/>
                <w:szCs w:val="20"/>
              </w:rPr>
              <w:t>También es o</w:t>
            </w:r>
            <w:r w:rsidR="00B46754">
              <w:rPr>
                <w:rFonts w:ascii="Verdana" w:hAnsi="Verdana"/>
                <w:color w:val="000000"/>
                <w:sz w:val="20"/>
                <w:szCs w:val="20"/>
              </w:rPr>
              <w:t xml:space="preserve">bligatorio para el reporte de que tratan los numerales </w:t>
            </w:r>
            <w:r w:rsidR="001D1FF9">
              <w:rPr>
                <w:rFonts w:ascii="Verdana" w:hAnsi="Verdana"/>
                <w:color w:val="000000"/>
                <w:sz w:val="20"/>
                <w:szCs w:val="20"/>
              </w:rPr>
              <w:t xml:space="preserve">14 (ii), </w:t>
            </w:r>
            <w:r w:rsidR="00B46754">
              <w:rPr>
                <w:rFonts w:ascii="Verdana" w:hAnsi="Verdana"/>
                <w:color w:val="000000"/>
                <w:sz w:val="20"/>
                <w:szCs w:val="20"/>
              </w:rPr>
              <w:t>15, 16, 17</w:t>
            </w:r>
            <w:r w:rsidR="00637A31">
              <w:rPr>
                <w:rFonts w:ascii="Verdana" w:hAnsi="Verdana"/>
                <w:color w:val="000000"/>
                <w:sz w:val="20"/>
                <w:szCs w:val="20"/>
              </w:rPr>
              <w:t>,</w:t>
            </w:r>
            <w:r w:rsidR="00F00155">
              <w:rPr>
                <w:rFonts w:ascii="Verdana" w:hAnsi="Verdana"/>
                <w:color w:val="000000"/>
                <w:sz w:val="20"/>
                <w:szCs w:val="20"/>
              </w:rPr>
              <w:t xml:space="preserve"> </w:t>
            </w:r>
            <w:r w:rsidR="00B46754">
              <w:rPr>
                <w:rFonts w:ascii="Verdana" w:hAnsi="Verdana"/>
                <w:color w:val="000000"/>
                <w:sz w:val="20"/>
                <w:szCs w:val="20"/>
              </w:rPr>
              <w:t>18</w:t>
            </w:r>
            <w:r w:rsidR="00637A31">
              <w:rPr>
                <w:rFonts w:ascii="Verdana" w:hAnsi="Verdana"/>
                <w:color w:val="000000"/>
                <w:sz w:val="20"/>
                <w:szCs w:val="20"/>
              </w:rPr>
              <w:t xml:space="preserve"> y 31</w:t>
            </w:r>
            <w:r w:rsidR="00B46754">
              <w:rPr>
                <w:rFonts w:ascii="Verdana" w:hAnsi="Verdana"/>
                <w:color w:val="000000"/>
                <w:sz w:val="20"/>
                <w:szCs w:val="20"/>
              </w:rPr>
              <w:t xml:space="preserve"> de las </w:t>
            </w:r>
            <w:r w:rsidR="00B46754" w:rsidRPr="00422DCE">
              <w:rPr>
                <w:rFonts w:ascii="Verdana" w:hAnsi="Verdana"/>
                <w:bCs/>
                <w:sz w:val="20"/>
                <w:szCs w:val="20"/>
              </w:rPr>
              <w:t>«</w:t>
            </w:r>
            <w:r w:rsidR="00B46754" w:rsidRPr="00075DE0">
              <w:rPr>
                <w:rFonts w:ascii="Verdana" w:hAnsi="Verdana"/>
                <w:bCs/>
                <w:sz w:val="20"/>
                <w:szCs w:val="20"/>
              </w:rPr>
              <w:t>Re</w:t>
            </w:r>
            <w:r w:rsidR="00B46754">
              <w:rPr>
                <w:rFonts w:ascii="Verdana" w:hAnsi="Verdana"/>
                <w:bCs/>
                <w:sz w:val="20"/>
                <w:szCs w:val="20"/>
              </w:rPr>
              <w:t>glas generales de diligenciamiento</w:t>
            </w:r>
            <w:r w:rsidR="00B46754" w:rsidRPr="00BD40EF">
              <w:rPr>
                <w:rFonts w:ascii="Verdana" w:hAnsi="Verdana"/>
                <w:bCs/>
                <w:sz w:val="20"/>
                <w:szCs w:val="20"/>
              </w:rPr>
              <w:t>»</w:t>
            </w:r>
            <w:r w:rsidR="00B46754">
              <w:rPr>
                <w:rFonts w:ascii="Verdana" w:hAnsi="Verdana"/>
                <w:bCs/>
                <w:sz w:val="20"/>
                <w:szCs w:val="20"/>
              </w:rPr>
              <w:t xml:space="preserve"> del presente documento.</w:t>
            </w:r>
          </w:p>
          <w:p w14:paraId="4419444A" w14:textId="7F7CA9FB" w:rsidR="00B31033" w:rsidRPr="00075DE0" w:rsidRDefault="00B31033" w:rsidP="00663431">
            <w:pPr>
              <w:jc w:val="both"/>
              <w:rPr>
                <w:rFonts w:ascii="Verdana" w:eastAsia="Times New Roman" w:hAnsi="Verdana" w:cs="Calibri"/>
                <w:color w:val="000000"/>
                <w:sz w:val="20"/>
                <w:szCs w:val="20"/>
                <w:lang w:eastAsia="es-CO"/>
              </w:rPr>
            </w:pPr>
          </w:p>
        </w:tc>
      </w:tr>
      <w:tr w:rsidR="00663431" w:rsidRPr="00075DE0" w14:paraId="70B96060" w14:textId="77777777" w:rsidTr="00043CF1">
        <w:trPr>
          <w:trHeight w:val="1620"/>
        </w:trPr>
        <w:tc>
          <w:tcPr>
            <w:tcW w:w="1705" w:type="dxa"/>
            <w:vAlign w:val="center"/>
            <w:hideMark/>
          </w:tcPr>
          <w:p w14:paraId="58ADDF99"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Intereses</w:t>
            </w:r>
          </w:p>
        </w:tc>
        <w:tc>
          <w:tcPr>
            <w:tcW w:w="3147" w:type="dxa"/>
            <w:vAlign w:val="center"/>
          </w:tcPr>
          <w:p w14:paraId="2167D0CB"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saldo_intereses</w:t>
            </w:r>
          </w:p>
        </w:tc>
        <w:tc>
          <w:tcPr>
            <w:tcW w:w="4215" w:type="dxa"/>
            <w:vAlign w:val="center"/>
          </w:tcPr>
          <w:p w14:paraId="0A3E6BCA"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saldo consolidado de intereses </w:t>
            </w:r>
            <w:r w:rsidR="00F33558">
              <w:rPr>
                <w:rFonts w:ascii="Verdana" w:eastAsia="Times New Roman" w:hAnsi="Verdana" w:cs="Calibri"/>
                <w:color w:val="000000"/>
                <w:sz w:val="20"/>
                <w:szCs w:val="20"/>
                <w:lang w:eastAsia="es-CO"/>
              </w:rPr>
              <w:t xml:space="preserve">remuneratorios </w:t>
            </w:r>
            <w:r w:rsidR="00D30979">
              <w:rPr>
                <w:rFonts w:ascii="Verdana" w:eastAsia="Times New Roman" w:hAnsi="Verdana" w:cs="Calibri"/>
                <w:color w:val="000000"/>
                <w:sz w:val="20"/>
                <w:szCs w:val="20"/>
                <w:lang w:eastAsia="es-CO"/>
              </w:rPr>
              <w:t xml:space="preserve">y moratorios </w:t>
            </w:r>
            <w:r w:rsidRPr="00075DE0">
              <w:rPr>
                <w:rFonts w:ascii="Verdana" w:eastAsia="Times New Roman" w:hAnsi="Verdana" w:cs="Calibri"/>
                <w:color w:val="000000"/>
                <w:sz w:val="20"/>
                <w:szCs w:val="20"/>
                <w:lang w:eastAsia="es-CO"/>
              </w:rPr>
              <w:t>que el deudor debe pagar sobre el capital del crédito en la fecha de corte determinada</w:t>
            </w:r>
            <w:r>
              <w:rPr>
                <w:rFonts w:ascii="Verdana" w:eastAsia="Times New Roman" w:hAnsi="Verdana" w:cs="Calibri"/>
                <w:color w:val="000000"/>
                <w:sz w:val="20"/>
                <w:szCs w:val="20"/>
                <w:lang w:eastAsia="es-CO"/>
              </w:rPr>
              <w:t>.</w:t>
            </w:r>
          </w:p>
          <w:p w14:paraId="66F5D023" w14:textId="77777777" w:rsidR="00B31033" w:rsidRDefault="00B31033" w:rsidP="00663431">
            <w:pPr>
              <w:jc w:val="both"/>
              <w:rPr>
                <w:rFonts w:ascii="Verdana" w:eastAsia="Times New Roman" w:hAnsi="Verdana" w:cs="Calibri"/>
                <w:color w:val="000000"/>
                <w:sz w:val="20"/>
                <w:szCs w:val="20"/>
                <w:lang w:eastAsia="es-CO"/>
              </w:rPr>
            </w:pPr>
          </w:p>
          <w:p w14:paraId="563F2500" w14:textId="37602BA9" w:rsidR="00B46754" w:rsidRDefault="00631222" w:rsidP="00B46754">
            <w:pPr>
              <w:jc w:val="both"/>
              <w:outlineLvl w:val="0"/>
              <w:rPr>
                <w:rFonts w:ascii="Verdana" w:hAnsi="Verdana"/>
                <w:color w:val="000000"/>
                <w:sz w:val="20"/>
                <w:szCs w:val="20"/>
              </w:rPr>
            </w:pPr>
            <w:r>
              <w:rPr>
                <w:rFonts w:ascii="Verdana" w:hAnsi="Verdana"/>
                <w:color w:val="000000"/>
                <w:sz w:val="20"/>
                <w:szCs w:val="20"/>
              </w:rPr>
              <w:t>También es o</w:t>
            </w:r>
            <w:r w:rsidR="00B46754">
              <w:rPr>
                <w:rFonts w:ascii="Verdana" w:hAnsi="Verdana"/>
                <w:color w:val="000000"/>
                <w:sz w:val="20"/>
                <w:szCs w:val="20"/>
              </w:rPr>
              <w:t xml:space="preserve">bligatorio para el reporte de que tratan los numerales </w:t>
            </w:r>
            <w:r w:rsidR="001D1FF9">
              <w:rPr>
                <w:rFonts w:ascii="Verdana" w:hAnsi="Verdana"/>
                <w:color w:val="000000"/>
                <w:sz w:val="20"/>
                <w:szCs w:val="20"/>
              </w:rPr>
              <w:t xml:space="preserve">14 (ii), </w:t>
            </w:r>
            <w:r w:rsidR="00B46754">
              <w:rPr>
                <w:rFonts w:ascii="Verdana" w:hAnsi="Verdana"/>
                <w:color w:val="000000"/>
                <w:sz w:val="20"/>
                <w:szCs w:val="20"/>
              </w:rPr>
              <w:t>15, 16, 17</w:t>
            </w:r>
            <w:r w:rsidR="00637A31">
              <w:rPr>
                <w:rFonts w:ascii="Verdana" w:hAnsi="Verdana"/>
                <w:color w:val="000000"/>
                <w:sz w:val="20"/>
                <w:szCs w:val="20"/>
              </w:rPr>
              <w:t>,</w:t>
            </w:r>
            <w:r w:rsidR="00F00155">
              <w:rPr>
                <w:rFonts w:ascii="Verdana" w:hAnsi="Verdana"/>
                <w:color w:val="000000"/>
                <w:sz w:val="20"/>
                <w:szCs w:val="20"/>
              </w:rPr>
              <w:t xml:space="preserve"> </w:t>
            </w:r>
            <w:r w:rsidR="00B46754">
              <w:rPr>
                <w:rFonts w:ascii="Verdana" w:hAnsi="Verdana"/>
                <w:color w:val="000000"/>
                <w:sz w:val="20"/>
                <w:szCs w:val="20"/>
              </w:rPr>
              <w:t>18</w:t>
            </w:r>
            <w:r w:rsidR="00637A31">
              <w:rPr>
                <w:rFonts w:ascii="Verdana" w:hAnsi="Verdana"/>
                <w:color w:val="000000"/>
                <w:sz w:val="20"/>
                <w:szCs w:val="20"/>
              </w:rPr>
              <w:t xml:space="preserve"> y 31</w:t>
            </w:r>
            <w:r w:rsidR="00B46754">
              <w:rPr>
                <w:rFonts w:ascii="Verdana" w:hAnsi="Verdana"/>
                <w:color w:val="000000"/>
                <w:sz w:val="20"/>
                <w:szCs w:val="20"/>
              </w:rPr>
              <w:t xml:space="preserve"> de las </w:t>
            </w:r>
            <w:r w:rsidR="00B46754" w:rsidRPr="00422DCE">
              <w:rPr>
                <w:rFonts w:ascii="Verdana" w:hAnsi="Verdana"/>
                <w:bCs/>
                <w:sz w:val="20"/>
                <w:szCs w:val="20"/>
              </w:rPr>
              <w:t>«</w:t>
            </w:r>
            <w:r w:rsidR="00B46754" w:rsidRPr="00075DE0">
              <w:rPr>
                <w:rFonts w:ascii="Verdana" w:hAnsi="Verdana"/>
                <w:bCs/>
                <w:sz w:val="20"/>
                <w:szCs w:val="20"/>
              </w:rPr>
              <w:t>Re</w:t>
            </w:r>
            <w:r w:rsidR="00B46754">
              <w:rPr>
                <w:rFonts w:ascii="Verdana" w:hAnsi="Verdana"/>
                <w:bCs/>
                <w:sz w:val="20"/>
                <w:szCs w:val="20"/>
              </w:rPr>
              <w:t>glas generales de diligenciamiento</w:t>
            </w:r>
            <w:r w:rsidR="00B46754" w:rsidRPr="00BD40EF">
              <w:rPr>
                <w:rFonts w:ascii="Verdana" w:hAnsi="Verdana"/>
                <w:bCs/>
                <w:sz w:val="20"/>
                <w:szCs w:val="20"/>
              </w:rPr>
              <w:t>»</w:t>
            </w:r>
            <w:r w:rsidR="00B46754">
              <w:rPr>
                <w:rFonts w:ascii="Verdana" w:hAnsi="Verdana"/>
                <w:bCs/>
                <w:sz w:val="20"/>
                <w:szCs w:val="20"/>
              </w:rPr>
              <w:t xml:space="preserve"> del presente documento.</w:t>
            </w:r>
          </w:p>
          <w:p w14:paraId="26C1B7EA" w14:textId="75D4C6F1" w:rsidR="00B31033" w:rsidRPr="00075DE0" w:rsidRDefault="00B31033" w:rsidP="00663431">
            <w:pPr>
              <w:jc w:val="both"/>
              <w:rPr>
                <w:rFonts w:ascii="Verdana" w:eastAsia="Times New Roman" w:hAnsi="Verdana" w:cs="Calibri"/>
                <w:color w:val="000000"/>
                <w:sz w:val="20"/>
                <w:szCs w:val="20"/>
                <w:lang w:eastAsia="es-CO"/>
              </w:rPr>
            </w:pPr>
          </w:p>
        </w:tc>
      </w:tr>
      <w:tr w:rsidR="00663431" w:rsidRPr="00075DE0" w14:paraId="49B3C3D0" w14:textId="77777777" w:rsidTr="00043CF1">
        <w:trPr>
          <w:trHeight w:val="3254"/>
        </w:trPr>
        <w:tc>
          <w:tcPr>
            <w:tcW w:w="1705" w:type="dxa"/>
            <w:vAlign w:val="center"/>
            <w:hideMark/>
          </w:tcPr>
          <w:p w14:paraId="12B330F3"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lastRenderedPageBreak/>
              <w:t>Otros conceptos</w:t>
            </w:r>
          </w:p>
        </w:tc>
        <w:tc>
          <w:tcPr>
            <w:tcW w:w="3147" w:type="dxa"/>
            <w:vAlign w:val="center"/>
          </w:tcPr>
          <w:p w14:paraId="7F69874E"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saldo_otros</w:t>
            </w:r>
          </w:p>
        </w:tc>
        <w:tc>
          <w:tcPr>
            <w:tcW w:w="4215" w:type="dxa"/>
            <w:vAlign w:val="center"/>
          </w:tcPr>
          <w:p w14:paraId="43638158" w14:textId="76FEC53A"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saldo </w:t>
            </w:r>
            <w:r w:rsidR="009777BC">
              <w:rPr>
                <w:rFonts w:ascii="Verdana" w:eastAsia="Times New Roman" w:hAnsi="Verdana" w:cs="Calibri"/>
                <w:color w:val="000000"/>
                <w:sz w:val="20"/>
                <w:szCs w:val="20"/>
                <w:lang w:eastAsia="es-CO"/>
              </w:rPr>
              <w:t xml:space="preserve">generado por </w:t>
            </w:r>
            <w:r w:rsidRPr="00075DE0">
              <w:rPr>
                <w:rFonts w:ascii="Verdana" w:eastAsia="Times New Roman" w:hAnsi="Verdana" w:cs="Calibri"/>
                <w:color w:val="000000"/>
                <w:sz w:val="20"/>
                <w:szCs w:val="20"/>
                <w:lang w:eastAsia="es-CO"/>
              </w:rPr>
              <w:t xml:space="preserve">otros conceptos </w:t>
            </w:r>
            <w:r w:rsidR="00A92121">
              <w:rPr>
                <w:rFonts w:ascii="Verdana" w:eastAsia="Times New Roman" w:hAnsi="Verdana" w:cs="Calibri"/>
                <w:color w:val="000000"/>
                <w:sz w:val="20"/>
                <w:szCs w:val="20"/>
                <w:lang w:eastAsia="es-CO"/>
              </w:rPr>
              <w:t xml:space="preserve">relacionados con las operaciones de crédito, </w:t>
            </w:r>
            <w:r w:rsidR="00332228">
              <w:rPr>
                <w:rFonts w:ascii="Verdana" w:eastAsia="Times New Roman" w:hAnsi="Verdana" w:cs="Calibri"/>
                <w:color w:val="000000"/>
                <w:sz w:val="20"/>
                <w:szCs w:val="20"/>
                <w:lang w:eastAsia="es-CO"/>
              </w:rPr>
              <w:t>a saber: (i)</w:t>
            </w:r>
            <w:r w:rsidR="00A92121">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 xml:space="preserve">pagos por cuenta de clientes, </w:t>
            </w:r>
            <w:r w:rsidR="00332228">
              <w:rPr>
                <w:rFonts w:ascii="Verdana" w:eastAsia="Times New Roman" w:hAnsi="Verdana" w:cs="Calibri"/>
                <w:color w:val="000000"/>
                <w:sz w:val="20"/>
                <w:szCs w:val="20"/>
                <w:lang w:eastAsia="es-CO"/>
              </w:rPr>
              <w:t xml:space="preserve">(ii) </w:t>
            </w:r>
            <w:r w:rsidRPr="00075DE0">
              <w:rPr>
                <w:rFonts w:ascii="Verdana" w:eastAsia="Times New Roman" w:hAnsi="Verdana" w:cs="Calibri"/>
                <w:color w:val="000000"/>
                <w:sz w:val="20"/>
                <w:szCs w:val="20"/>
                <w:lang w:eastAsia="es-CO"/>
              </w:rPr>
              <w:t xml:space="preserve">préstamos a </w:t>
            </w:r>
            <w:r>
              <w:rPr>
                <w:rFonts w:ascii="Verdana" w:eastAsia="Times New Roman" w:hAnsi="Verdana" w:cs="Calibri"/>
                <w:color w:val="000000"/>
                <w:sz w:val="20"/>
                <w:szCs w:val="20"/>
                <w:lang w:eastAsia="es-CO"/>
              </w:rPr>
              <w:t>e</w:t>
            </w:r>
            <w:r w:rsidRPr="00075DE0">
              <w:rPr>
                <w:rFonts w:ascii="Verdana" w:eastAsia="Times New Roman" w:hAnsi="Verdana" w:cs="Calibri"/>
                <w:color w:val="000000"/>
                <w:sz w:val="20"/>
                <w:szCs w:val="20"/>
                <w:lang w:eastAsia="es-CO"/>
              </w:rPr>
              <w:t xml:space="preserve">ntidades </w:t>
            </w:r>
            <w:r>
              <w:rPr>
                <w:rFonts w:ascii="Verdana" w:eastAsia="Times New Roman" w:hAnsi="Verdana" w:cs="Calibri"/>
                <w:color w:val="000000"/>
                <w:sz w:val="20"/>
                <w:szCs w:val="20"/>
                <w:lang w:eastAsia="es-CO"/>
              </w:rPr>
              <w:t>i</w:t>
            </w:r>
            <w:r w:rsidRPr="00075DE0">
              <w:rPr>
                <w:rFonts w:ascii="Verdana" w:eastAsia="Times New Roman" w:hAnsi="Verdana" w:cs="Calibri"/>
                <w:color w:val="000000"/>
                <w:sz w:val="20"/>
                <w:szCs w:val="20"/>
                <w:lang w:eastAsia="es-CO"/>
              </w:rPr>
              <w:t xml:space="preserve">nscritas, </w:t>
            </w:r>
            <w:r w:rsidR="00332228">
              <w:rPr>
                <w:rFonts w:ascii="Verdana" w:eastAsia="Times New Roman" w:hAnsi="Verdana" w:cs="Calibri"/>
                <w:color w:val="000000"/>
                <w:sz w:val="20"/>
                <w:szCs w:val="20"/>
                <w:lang w:eastAsia="es-CO"/>
              </w:rPr>
              <w:t xml:space="preserve">(iii) </w:t>
            </w:r>
            <w:r w:rsidR="003A0019">
              <w:rPr>
                <w:rFonts w:ascii="Verdana" w:eastAsia="Times New Roman" w:hAnsi="Verdana" w:cs="Calibri"/>
                <w:color w:val="000000"/>
                <w:sz w:val="20"/>
                <w:szCs w:val="20"/>
                <w:lang w:eastAsia="es-CO"/>
              </w:rPr>
              <w:t xml:space="preserve">comisiones </w:t>
            </w:r>
            <w:r w:rsidR="009757F7">
              <w:rPr>
                <w:rFonts w:ascii="Verdana" w:eastAsia="Times New Roman" w:hAnsi="Verdana" w:cs="Calibri"/>
                <w:color w:val="000000"/>
                <w:sz w:val="20"/>
                <w:szCs w:val="20"/>
                <w:lang w:eastAsia="es-CO"/>
              </w:rPr>
              <w:t xml:space="preserve">pagadas a los </w:t>
            </w:r>
            <w:r>
              <w:rPr>
                <w:rFonts w:ascii="Verdana" w:eastAsia="Times New Roman" w:hAnsi="Verdana" w:cs="Calibri"/>
                <w:color w:val="000000"/>
                <w:sz w:val="20"/>
                <w:szCs w:val="20"/>
                <w:lang w:eastAsia="es-CO"/>
              </w:rPr>
              <w:t>f</w:t>
            </w:r>
            <w:r w:rsidRPr="00075DE0">
              <w:rPr>
                <w:rFonts w:ascii="Verdana" w:eastAsia="Times New Roman" w:hAnsi="Verdana" w:cs="Calibri"/>
                <w:color w:val="000000"/>
                <w:sz w:val="20"/>
                <w:szCs w:val="20"/>
                <w:lang w:eastAsia="es-CO"/>
              </w:rPr>
              <w:t xml:space="preserve">ondos de </w:t>
            </w:r>
            <w:r>
              <w:rPr>
                <w:rFonts w:ascii="Verdana" w:eastAsia="Times New Roman" w:hAnsi="Verdana" w:cs="Calibri"/>
                <w:color w:val="000000"/>
                <w:sz w:val="20"/>
                <w:szCs w:val="20"/>
                <w:lang w:eastAsia="es-CO"/>
              </w:rPr>
              <w:t>g</w:t>
            </w:r>
            <w:r w:rsidRPr="00075DE0">
              <w:rPr>
                <w:rFonts w:ascii="Verdana" w:eastAsia="Times New Roman" w:hAnsi="Verdana" w:cs="Calibri"/>
                <w:color w:val="000000"/>
                <w:sz w:val="20"/>
                <w:szCs w:val="20"/>
                <w:lang w:eastAsia="es-CO"/>
              </w:rPr>
              <w:t>arantías</w:t>
            </w:r>
            <w:r w:rsidR="00402AC7">
              <w:rPr>
                <w:rFonts w:ascii="Verdana" w:eastAsia="Times New Roman" w:hAnsi="Verdana" w:cs="Calibri"/>
                <w:color w:val="000000"/>
                <w:sz w:val="20"/>
                <w:szCs w:val="20"/>
                <w:lang w:eastAsia="es-CO"/>
              </w:rPr>
              <w:t xml:space="preserve">, </w:t>
            </w:r>
            <w:r w:rsidR="00332228">
              <w:rPr>
                <w:rFonts w:ascii="Verdana" w:eastAsia="Times New Roman" w:hAnsi="Verdana" w:cs="Calibri"/>
                <w:color w:val="000000"/>
                <w:sz w:val="20"/>
                <w:szCs w:val="20"/>
                <w:lang w:eastAsia="es-CO"/>
              </w:rPr>
              <w:t xml:space="preserve">(iv) </w:t>
            </w:r>
            <w:r w:rsidR="00402AC7">
              <w:rPr>
                <w:rFonts w:ascii="Verdana" w:eastAsia="Times New Roman" w:hAnsi="Verdana" w:cs="Calibri"/>
                <w:color w:val="000000"/>
                <w:sz w:val="20"/>
                <w:szCs w:val="20"/>
                <w:lang w:eastAsia="es-CO"/>
              </w:rPr>
              <w:t>comisiones que no computan como interés,</w:t>
            </w:r>
            <w:r w:rsidR="00332228">
              <w:rPr>
                <w:rFonts w:ascii="Verdana" w:eastAsia="Times New Roman" w:hAnsi="Verdana" w:cs="Calibri"/>
                <w:color w:val="000000"/>
                <w:sz w:val="20"/>
                <w:szCs w:val="20"/>
                <w:lang w:eastAsia="es-CO"/>
              </w:rPr>
              <w:t xml:space="preserve"> (v)</w:t>
            </w:r>
            <w:r w:rsidR="00402AC7">
              <w:rPr>
                <w:rFonts w:ascii="Verdana" w:eastAsia="Times New Roman" w:hAnsi="Verdana" w:cs="Calibri"/>
                <w:color w:val="000000"/>
                <w:sz w:val="20"/>
                <w:szCs w:val="20"/>
                <w:lang w:eastAsia="es-CO"/>
              </w:rPr>
              <w:t xml:space="preserve"> </w:t>
            </w:r>
            <w:r w:rsidR="003E0D68">
              <w:rPr>
                <w:rFonts w:ascii="Verdana" w:eastAsia="Times New Roman" w:hAnsi="Verdana" w:cs="Calibri"/>
                <w:color w:val="000000"/>
                <w:sz w:val="20"/>
                <w:szCs w:val="20"/>
                <w:lang w:eastAsia="es-CO"/>
              </w:rPr>
              <w:t>honorarios</w:t>
            </w:r>
            <w:r w:rsidRPr="00075DE0">
              <w:rPr>
                <w:rFonts w:ascii="Verdana" w:eastAsia="Times New Roman" w:hAnsi="Verdana" w:cs="Calibri"/>
                <w:color w:val="000000"/>
                <w:sz w:val="20"/>
                <w:szCs w:val="20"/>
                <w:lang w:eastAsia="es-CO"/>
              </w:rPr>
              <w:t xml:space="preserve"> y </w:t>
            </w:r>
            <w:r w:rsidR="00332228">
              <w:rPr>
                <w:rFonts w:ascii="Verdana" w:eastAsia="Times New Roman" w:hAnsi="Verdana" w:cs="Calibri"/>
                <w:color w:val="000000"/>
                <w:sz w:val="20"/>
                <w:szCs w:val="20"/>
                <w:lang w:eastAsia="es-CO"/>
              </w:rPr>
              <w:t xml:space="preserve">(vi) </w:t>
            </w:r>
            <w:r w:rsidRPr="00075DE0">
              <w:rPr>
                <w:rFonts w:ascii="Verdana" w:eastAsia="Times New Roman" w:hAnsi="Verdana" w:cs="Calibri"/>
                <w:color w:val="000000"/>
                <w:sz w:val="20"/>
                <w:szCs w:val="20"/>
                <w:lang w:eastAsia="es-CO"/>
              </w:rPr>
              <w:t>cuotas de manejo de tarjetas de crédito</w:t>
            </w:r>
            <w:r w:rsidR="00DA07AE">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en la fecha de corte determinada</w:t>
            </w:r>
            <w:r>
              <w:rPr>
                <w:rFonts w:ascii="Verdana" w:eastAsia="Times New Roman" w:hAnsi="Verdana" w:cs="Calibri"/>
                <w:color w:val="000000"/>
                <w:sz w:val="20"/>
                <w:szCs w:val="20"/>
                <w:lang w:eastAsia="es-CO"/>
              </w:rPr>
              <w:t>.</w:t>
            </w:r>
          </w:p>
          <w:p w14:paraId="3AD16063" w14:textId="77777777" w:rsidR="00B31033" w:rsidRDefault="00B31033" w:rsidP="00663431">
            <w:pPr>
              <w:jc w:val="both"/>
              <w:rPr>
                <w:rFonts w:ascii="Verdana" w:eastAsia="Times New Roman" w:hAnsi="Verdana" w:cs="Calibri"/>
                <w:color w:val="000000"/>
                <w:sz w:val="20"/>
                <w:szCs w:val="20"/>
                <w:lang w:eastAsia="es-CO"/>
              </w:rPr>
            </w:pPr>
          </w:p>
          <w:p w14:paraId="5568D546" w14:textId="470DC0DC" w:rsidR="00B46754" w:rsidRDefault="00631222" w:rsidP="00B46754">
            <w:pPr>
              <w:jc w:val="both"/>
              <w:outlineLvl w:val="0"/>
              <w:rPr>
                <w:rFonts w:ascii="Verdana" w:hAnsi="Verdana"/>
                <w:color w:val="000000"/>
                <w:sz w:val="20"/>
                <w:szCs w:val="20"/>
              </w:rPr>
            </w:pPr>
            <w:r>
              <w:rPr>
                <w:rFonts w:ascii="Verdana" w:hAnsi="Verdana"/>
                <w:color w:val="000000"/>
                <w:sz w:val="20"/>
                <w:szCs w:val="20"/>
              </w:rPr>
              <w:t>También es o</w:t>
            </w:r>
            <w:r w:rsidR="00B46754">
              <w:rPr>
                <w:rFonts w:ascii="Verdana" w:hAnsi="Verdana"/>
                <w:color w:val="000000"/>
                <w:sz w:val="20"/>
                <w:szCs w:val="20"/>
              </w:rPr>
              <w:t xml:space="preserve">bligatorio para el reporte de que tratan los numerales </w:t>
            </w:r>
            <w:r w:rsidR="00BD731E">
              <w:rPr>
                <w:rFonts w:ascii="Verdana" w:hAnsi="Verdana"/>
                <w:color w:val="000000"/>
                <w:sz w:val="20"/>
                <w:szCs w:val="20"/>
              </w:rPr>
              <w:t xml:space="preserve">14 (ii), </w:t>
            </w:r>
            <w:r w:rsidR="00B46754">
              <w:rPr>
                <w:rFonts w:ascii="Verdana" w:hAnsi="Verdana"/>
                <w:color w:val="000000"/>
                <w:sz w:val="20"/>
                <w:szCs w:val="20"/>
              </w:rPr>
              <w:t xml:space="preserve">15, 16, 17 y 18 de las </w:t>
            </w:r>
            <w:r w:rsidR="00B46754" w:rsidRPr="00422DCE">
              <w:rPr>
                <w:rFonts w:ascii="Verdana" w:hAnsi="Verdana"/>
                <w:bCs/>
                <w:sz w:val="20"/>
                <w:szCs w:val="20"/>
              </w:rPr>
              <w:t>«</w:t>
            </w:r>
            <w:r w:rsidR="00B46754" w:rsidRPr="00075DE0">
              <w:rPr>
                <w:rFonts w:ascii="Verdana" w:hAnsi="Verdana"/>
                <w:bCs/>
                <w:sz w:val="20"/>
                <w:szCs w:val="20"/>
              </w:rPr>
              <w:t>Re</w:t>
            </w:r>
            <w:r w:rsidR="00B46754">
              <w:rPr>
                <w:rFonts w:ascii="Verdana" w:hAnsi="Verdana"/>
                <w:bCs/>
                <w:sz w:val="20"/>
                <w:szCs w:val="20"/>
              </w:rPr>
              <w:t>glas generales de diligenciamiento</w:t>
            </w:r>
            <w:r w:rsidR="00B46754" w:rsidRPr="00BD40EF">
              <w:rPr>
                <w:rFonts w:ascii="Verdana" w:hAnsi="Verdana"/>
                <w:bCs/>
                <w:sz w:val="20"/>
                <w:szCs w:val="20"/>
              </w:rPr>
              <w:t>»</w:t>
            </w:r>
            <w:r w:rsidR="00B46754">
              <w:rPr>
                <w:rFonts w:ascii="Verdana" w:hAnsi="Verdana"/>
                <w:bCs/>
                <w:sz w:val="20"/>
                <w:szCs w:val="20"/>
              </w:rPr>
              <w:t xml:space="preserve"> del presente documento.</w:t>
            </w:r>
          </w:p>
          <w:p w14:paraId="0E78C1E9" w14:textId="507645FE" w:rsidR="00B31033" w:rsidRPr="00075DE0" w:rsidRDefault="00B31033" w:rsidP="00663431">
            <w:pPr>
              <w:jc w:val="both"/>
              <w:rPr>
                <w:rFonts w:ascii="Verdana" w:eastAsia="Times New Roman" w:hAnsi="Verdana" w:cs="Calibri"/>
                <w:color w:val="000000"/>
                <w:sz w:val="20"/>
                <w:szCs w:val="20"/>
                <w:lang w:eastAsia="es-CO"/>
              </w:rPr>
            </w:pPr>
          </w:p>
        </w:tc>
      </w:tr>
      <w:tr w:rsidR="00663431" w:rsidRPr="00075DE0" w14:paraId="789B22CF" w14:textId="77777777" w:rsidTr="00043CF1">
        <w:trPr>
          <w:trHeight w:val="2221"/>
        </w:trPr>
        <w:tc>
          <w:tcPr>
            <w:tcW w:w="1705" w:type="dxa"/>
            <w:vAlign w:val="center"/>
            <w:hideMark/>
          </w:tcPr>
          <w:p w14:paraId="106BD6EF"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Modelo de provisiones</w:t>
            </w:r>
          </w:p>
        </w:tc>
        <w:tc>
          <w:tcPr>
            <w:tcW w:w="3147" w:type="dxa"/>
            <w:vAlign w:val="center"/>
          </w:tcPr>
          <w:p w14:paraId="14215689"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modelo_provisiones</w:t>
            </w:r>
          </w:p>
        </w:tc>
        <w:tc>
          <w:tcPr>
            <w:tcW w:w="4215" w:type="dxa"/>
            <w:vAlign w:val="center"/>
          </w:tcPr>
          <w:p w14:paraId="5F27B0FD" w14:textId="402C00AD"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código del modelo utilizado para calcular las provisiones necesarias para cubrir </w:t>
            </w:r>
            <w:r>
              <w:rPr>
                <w:rFonts w:ascii="Verdana" w:eastAsia="Times New Roman" w:hAnsi="Verdana" w:cs="Calibri"/>
                <w:color w:val="000000"/>
                <w:sz w:val="20"/>
                <w:szCs w:val="20"/>
                <w:lang w:eastAsia="es-CO"/>
              </w:rPr>
              <w:t>las pérdidas esperadas,</w:t>
            </w:r>
            <w:r w:rsidRPr="00075DE0">
              <w:rPr>
                <w:rFonts w:ascii="Verdana" w:eastAsia="Times New Roman" w:hAnsi="Verdana" w:cs="Calibri"/>
                <w:color w:val="000000"/>
                <w:sz w:val="20"/>
                <w:szCs w:val="20"/>
                <w:lang w:eastAsia="es-CO"/>
              </w:rPr>
              <w:t xml:space="preserve"> de acuerdo con la codificación </w:t>
            </w:r>
            <w:r>
              <w:rPr>
                <w:rFonts w:ascii="Verdana" w:eastAsia="Times New Roman" w:hAnsi="Verdana" w:cs="Calibri"/>
                <w:color w:val="000000"/>
                <w:sz w:val="20"/>
                <w:szCs w:val="20"/>
                <w:lang w:eastAsia="es-CO"/>
              </w:rPr>
              <w:t xml:space="preserve">para el </w:t>
            </w:r>
            <w:r w:rsidRPr="00075DE0">
              <w:rPr>
                <w:rFonts w:ascii="Verdana" w:eastAsia="Times New Roman" w:hAnsi="Verdana" w:cs="Calibri"/>
                <w:color w:val="000000"/>
                <w:sz w:val="20"/>
                <w:szCs w:val="20"/>
                <w:lang w:eastAsia="es-CO"/>
              </w:rPr>
              <w:t>modelo de provisiones publicada</w:t>
            </w:r>
            <w:r w:rsidR="00A918FA">
              <w:rPr>
                <w:rFonts w:ascii="Verdana" w:eastAsia="Times New Roman" w:hAnsi="Verdana" w:cs="Calibri"/>
                <w:color w:val="000000"/>
                <w:sz w:val="20"/>
                <w:szCs w:val="20"/>
                <w:lang w:eastAsia="es-CO"/>
              </w:rPr>
              <w:t xml:space="preserve"> en</w:t>
            </w:r>
            <w:r w:rsidRPr="00075DE0">
              <w:rPr>
                <w:rFonts w:ascii="Verdana" w:eastAsia="Times New Roman" w:hAnsi="Verdana" w:cs="Calibri"/>
                <w:color w:val="000000"/>
                <w:sz w:val="20"/>
                <w:szCs w:val="20"/>
                <w:lang w:eastAsia="es-CO"/>
              </w:rPr>
              <w:t xml:space="preserve"> la página de la SFC</w:t>
            </w:r>
            <w:r w:rsidR="00675B71">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w:t>
            </w:r>
            <w:r w:rsidR="009777BC">
              <w:rPr>
                <w:rFonts w:ascii="Verdana" w:eastAsia="Times New Roman" w:hAnsi="Verdana" w:cs="Calibri"/>
                <w:color w:val="000000"/>
                <w:sz w:val="20"/>
                <w:szCs w:val="20"/>
                <w:lang w:eastAsia="es-CO"/>
              </w:rPr>
              <w:t xml:space="preserve"> la sección</w:t>
            </w:r>
            <w:r>
              <w:rPr>
                <w:rFonts w:ascii="Verdana" w:eastAsia="Times New Roman" w:hAnsi="Verdana" w:cs="Calibri"/>
                <w:color w:val="000000"/>
                <w:sz w:val="20"/>
                <w:szCs w:val="20"/>
                <w:lang w:eastAsia="es-CO"/>
              </w:rPr>
              <w:t>:</w:t>
            </w:r>
          </w:p>
          <w:p w14:paraId="10BDBD45" w14:textId="77777777" w:rsidR="00663431" w:rsidRDefault="00663431" w:rsidP="00663431">
            <w:pPr>
              <w:jc w:val="both"/>
              <w:rPr>
                <w:rFonts w:ascii="Verdana" w:eastAsia="Times New Roman" w:hAnsi="Verdana" w:cs="Calibri"/>
                <w:color w:val="000000"/>
                <w:sz w:val="20"/>
                <w:szCs w:val="20"/>
                <w:lang w:eastAsia="es-CO"/>
              </w:rPr>
            </w:pPr>
          </w:p>
          <w:p w14:paraId="612B023E" w14:textId="77777777" w:rsidR="00663431" w:rsidRDefault="009777BC" w:rsidP="00663431">
            <w:pPr>
              <w:jc w:val="both"/>
              <w:rPr>
                <w:rFonts w:ascii="Verdana" w:hAnsi="Verdana" w:cs="Verdana"/>
                <w:i/>
                <w:iCs/>
                <w:sz w:val="20"/>
                <w:szCs w:val="20"/>
              </w:rPr>
            </w:pPr>
            <w:r w:rsidRPr="00B30AFB">
              <w:rPr>
                <w:rFonts w:ascii="Verdana" w:hAnsi="Verdana" w:cs="Verdana"/>
                <w:i/>
                <w:iCs/>
                <w:sz w:val="20"/>
                <w:szCs w:val="20"/>
              </w:rPr>
              <w:t>Inicio</w:t>
            </w:r>
            <w:r>
              <w:rPr>
                <w:rFonts w:ascii="Verdana" w:hAnsi="Verdana" w:cs="Verdana"/>
                <w:i/>
                <w:iCs/>
                <w:sz w:val="20"/>
                <w:szCs w:val="20"/>
              </w:rPr>
              <w:t xml:space="preserve"> </w:t>
            </w:r>
            <w:r w:rsidRPr="00B30AFB">
              <w:rPr>
                <w:rFonts w:ascii="Verdana" w:hAnsi="Verdana" w:cs="Verdana"/>
                <w:i/>
                <w:iCs/>
                <w:sz w:val="20"/>
                <w:szCs w:val="20"/>
              </w:rPr>
              <w:t>/</w:t>
            </w:r>
            <w:r>
              <w:rPr>
                <w:rFonts w:ascii="Verdana" w:hAnsi="Verdana" w:cs="Verdana"/>
                <w:i/>
                <w:iCs/>
                <w:sz w:val="20"/>
                <w:szCs w:val="20"/>
              </w:rPr>
              <w:t xml:space="preserve"> </w:t>
            </w:r>
            <w:r w:rsidR="004173BD">
              <w:rPr>
                <w:rFonts w:ascii="Verdana" w:hAnsi="Verdana" w:cs="Verdana"/>
                <w:i/>
                <w:iCs/>
                <w:sz w:val="20"/>
                <w:szCs w:val="20"/>
              </w:rPr>
              <w:t xml:space="preserve">Entidades vigiladas y controladas </w:t>
            </w:r>
            <w:r w:rsidRPr="00B30AFB">
              <w:rPr>
                <w:rFonts w:ascii="Verdana" w:hAnsi="Verdana" w:cs="Verdana"/>
                <w:i/>
                <w:iCs/>
                <w:sz w:val="20"/>
                <w:szCs w:val="20"/>
              </w:rPr>
              <w:t xml:space="preserve">/ Interés del Vigilado / Reportes / Índice de reportes de información a la Superintendencia Financiera / Tablas anexas para el reporte de información / Tablas MURIC – </w:t>
            </w:r>
            <w:r>
              <w:rPr>
                <w:rFonts w:ascii="Verdana" w:hAnsi="Verdana" w:cs="Verdana"/>
                <w:i/>
                <w:iCs/>
                <w:sz w:val="20"/>
                <w:szCs w:val="20"/>
              </w:rPr>
              <w:t>Movimientos de cartera</w:t>
            </w:r>
            <w:r w:rsidRPr="00B30AFB">
              <w:rPr>
                <w:rFonts w:ascii="Verdana" w:hAnsi="Verdana" w:cs="Verdana"/>
                <w:i/>
                <w:iCs/>
                <w:sz w:val="20"/>
                <w:szCs w:val="20"/>
              </w:rPr>
              <w:t xml:space="preserve">, hoja </w:t>
            </w:r>
            <w:r w:rsidR="004730EF">
              <w:rPr>
                <w:rFonts w:ascii="Verdana" w:hAnsi="Verdana" w:cs="Verdana"/>
                <w:i/>
                <w:iCs/>
                <w:sz w:val="20"/>
                <w:szCs w:val="20"/>
              </w:rPr>
              <w:t>Modelo de provisiones</w:t>
            </w:r>
          </w:p>
          <w:p w14:paraId="20FCADB2" w14:textId="77777777" w:rsidR="001A7A19" w:rsidRDefault="001A7A19" w:rsidP="00663431">
            <w:pPr>
              <w:jc w:val="both"/>
              <w:rPr>
                <w:rFonts w:ascii="Verdana" w:hAnsi="Verdana" w:cs="Verdana"/>
                <w:i/>
                <w:iCs/>
                <w:sz w:val="20"/>
                <w:szCs w:val="20"/>
              </w:rPr>
            </w:pPr>
          </w:p>
          <w:p w14:paraId="5E0172BA" w14:textId="49DC80F5" w:rsidR="001A7A19" w:rsidRPr="007F08F9" w:rsidRDefault="001A7A19" w:rsidP="007F08F9">
            <w:pPr>
              <w:jc w:val="both"/>
              <w:outlineLvl w:val="0"/>
              <w:rPr>
                <w:rFonts w:ascii="Verdana" w:hAnsi="Verdana"/>
                <w:color w:val="000000"/>
                <w:sz w:val="20"/>
                <w:szCs w:val="20"/>
              </w:rPr>
            </w:pPr>
            <w:r>
              <w:rPr>
                <w:rFonts w:ascii="Verdana" w:hAnsi="Verdana"/>
                <w:color w:val="000000"/>
                <w:sz w:val="20"/>
                <w:szCs w:val="20"/>
              </w:rPr>
              <w:t xml:space="preserve">También es obligatorio para el reporte de que trata el numeral 31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23646F1F" w14:textId="77777777" w:rsidTr="00043CF1">
        <w:trPr>
          <w:trHeight w:val="3289"/>
        </w:trPr>
        <w:tc>
          <w:tcPr>
            <w:tcW w:w="1705" w:type="dxa"/>
            <w:vAlign w:val="center"/>
            <w:hideMark/>
          </w:tcPr>
          <w:p w14:paraId="729345D9" w14:textId="7D914972"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Provisión </w:t>
            </w:r>
            <w:r w:rsidR="002A3B64">
              <w:rPr>
                <w:rFonts w:ascii="Verdana" w:hAnsi="Verdana"/>
                <w:color w:val="000000"/>
                <w:sz w:val="20"/>
                <w:szCs w:val="20"/>
                <w:shd w:val="clear" w:color="auto" w:fill="FFFFFF"/>
              </w:rPr>
              <w:t>p</w:t>
            </w:r>
            <w:r w:rsidRPr="00075DE0">
              <w:rPr>
                <w:rFonts w:ascii="Verdana" w:hAnsi="Verdana"/>
                <w:color w:val="000000"/>
                <w:sz w:val="20"/>
                <w:szCs w:val="20"/>
                <w:shd w:val="clear" w:color="auto" w:fill="FFFFFF"/>
              </w:rPr>
              <w:t>rocíclica</w:t>
            </w:r>
          </w:p>
        </w:tc>
        <w:tc>
          <w:tcPr>
            <w:tcW w:w="3147" w:type="dxa"/>
            <w:vAlign w:val="center"/>
          </w:tcPr>
          <w:p w14:paraId="16EB9058"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provision_prociclica</w:t>
            </w:r>
          </w:p>
        </w:tc>
        <w:tc>
          <w:tcPr>
            <w:tcW w:w="4215" w:type="dxa"/>
            <w:vAlign w:val="center"/>
            <w:hideMark/>
          </w:tcPr>
          <w:p w14:paraId="1AC8E6EF"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monto del componente individual procíclico </w:t>
            </w:r>
            <w:r w:rsidR="008D13A7">
              <w:rPr>
                <w:rFonts w:ascii="Verdana" w:eastAsia="Times New Roman" w:hAnsi="Verdana" w:cs="Calibri"/>
                <w:color w:val="000000"/>
                <w:sz w:val="20"/>
                <w:szCs w:val="20"/>
                <w:lang w:eastAsia="es-CO"/>
              </w:rPr>
              <w:t xml:space="preserve">de las provisiones, calculado a partir </w:t>
            </w:r>
            <w:r w:rsidRPr="00075DE0">
              <w:rPr>
                <w:rFonts w:ascii="Verdana" w:eastAsia="Times New Roman" w:hAnsi="Verdana" w:cs="Calibri"/>
                <w:color w:val="000000"/>
                <w:sz w:val="20"/>
                <w:szCs w:val="20"/>
                <w:lang w:eastAsia="es-CO"/>
              </w:rPr>
              <w:t>de</w:t>
            </w:r>
            <w:r w:rsidR="00615F86">
              <w:rPr>
                <w:rFonts w:ascii="Verdana" w:eastAsia="Times New Roman" w:hAnsi="Verdana" w:cs="Calibri"/>
                <w:color w:val="000000"/>
                <w:sz w:val="20"/>
                <w:szCs w:val="20"/>
                <w:lang w:eastAsia="es-CO"/>
              </w:rPr>
              <w:t>l modelo de referencia</w:t>
            </w:r>
            <w:r w:rsidR="008D13A7">
              <w:rPr>
                <w:rFonts w:ascii="Verdana" w:eastAsia="Times New Roman" w:hAnsi="Verdana" w:cs="Calibri"/>
                <w:color w:val="000000"/>
                <w:sz w:val="20"/>
                <w:szCs w:val="20"/>
                <w:lang w:eastAsia="es-CO"/>
              </w:rPr>
              <w:t xml:space="preserve"> previst</w:t>
            </w:r>
            <w:r w:rsidR="00615F86">
              <w:rPr>
                <w:rFonts w:ascii="Verdana" w:eastAsia="Times New Roman" w:hAnsi="Verdana" w:cs="Calibri"/>
                <w:color w:val="000000"/>
                <w:sz w:val="20"/>
                <w:szCs w:val="20"/>
                <w:lang w:eastAsia="es-CO"/>
              </w:rPr>
              <w:t>o</w:t>
            </w:r>
            <w:r w:rsidR="008D13A7">
              <w:rPr>
                <w:rFonts w:ascii="Verdana" w:eastAsia="Times New Roman" w:hAnsi="Verdana" w:cs="Calibri"/>
                <w:color w:val="000000"/>
                <w:sz w:val="20"/>
                <w:szCs w:val="20"/>
                <w:lang w:eastAsia="es-CO"/>
              </w:rPr>
              <w:t xml:space="preserve"> en</w:t>
            </w:r>
            <w:r w:rsidR="00615F86">
              <w:rPr>
                <w:rFonts w:ascii="Verdana" w:eastAsia="Times New Roman" w:hAnsi="Verdana" w:cs="Calibri"/>
                <w:color w:val="000000"/>
                <w:sz w:val="20"/>
                <w:szCs w:val="20"/>
                <w:lang w:eastAsia="es-CO"/>
              </w:rPr>
              <w:t xml:space="preserve"> las instrucciones</w:t>
            </w:r>
            <w:r w:rsidR="008D13A7">
              <w:rPr>
                <w:rFonts w:ascii="Verdana" w:eastAsia="Times New Roman" w:hAnsi="Verdana" w:cs="Calibri"/>
                <w:color w:val="000000"/>
                <w:sz w:val="20"/>
                <w:szCs w:val="20"/>
                <w:lang w:eastAsia="es-CO"/>
              </w:rPr>
              <w:t xml:space="preserve"> </w:t>
            </w:r>
            <w:r w:rsidR="00615F86">
              <w:rPr>
                <w:rFonts w:ascii="Verdana" w:eastAsia="Times New Roman" w:hAnsi="Verdana" w:cs="Calibri"/>
                <w:color w:val="000000"/>
                <w:sz w:val="20"/>
                <w:szCs w:val="20"/>
                <w:lang w:eastAsia="es-CO"/>
              </w:rPr>
              <w:t>d</w:t>
            </w:r>
            <w:r w:rsidR="008D13A7">
              <w:rPr>
                <w:rFonts w:ascii="Verdana" w:eastAsia="Times New Roman" w:hAnsi="Verdana" w:cs="Calibri"/>
                <w:color w:val="000000"/>
                <w:sz w:val="20"/>
                <w:szCs w:val="20"/>
                <w:lang w:eastAsia="es-CO"/>
              </w:rPr>
              <w:t xml:space="preserve">el </w:t>
            </w:r>
            <w:r w:rsidR="00314088">
              <w:rPr>
                <w:rFonts w:ascii="Verdana" w:eastAsia="Times New Roman" w:hAnsi="Verdana" w:cs="Calibri"/>
                <w:color w:val="000000"/>
                <w:sz w:val="20"/>
                <w:szCs w:val="20"/>
                <w:lang w:eastAsia="es-CO"/>
              </w:rPr>
              <w:t>a</w:t>
            </w:r>
            <w:r w:rsidR="008D13A7">
              <w:rPr>
                <w:rFonts w:ascii="Verdana" w:eastAsia="Times New Roman" w:hAnsi="Verdana" w:cs="Calibri"/>
                <w:color w:val="000000"/>
                <w:sz w:val="20"/>
                <w:szCs w:val="20"/>
                <w:lang w:eastAsia="es-CO"/>
              </w:rPr>
              <w:t>nexo 1 del</w:t>
            </w:r>
            <w:r w:rsidRPr="00075DE0">
              <w:rPr>
                <w:rFonts w:ascii="Verdana" w:eastAsia="Times New Roman" w:hAnsi="Verdana" w:cs="Calibri"/>
                <w:color w:val="000000"/>
                <w:sz w:val="20"/>
                <w:szCs w:val="20"/>
                <w:lang w:eastAsia="es-CO"/>
              </w:rPr>
              <w:t xml:space="preserve"> </w:t>
            </w:r>
            <w:r w:rsidR="00314088">
              <w:rPr>
                <w:rFonts w:ascii="Verdana" w:eastAsia="Times New Roman" w:hAnsi="Verdana" w:cs="Calibri"/>
                <w:color w:val="000000"/>
                <w:sz w:val="20"/>
                <w:szCs w:val="20"/>
                <w:lang w:eastAsia="es-CO"/>
              </w:rPr>
              <w:t>c</w:t>
            </w:r>
            <w:r w:rsidRPr="00075DE0">
              <w:rPr>
                <w:rFonts w:ascii="Verdana" w:eastAsia="Times New Roman" w:hAnsi="Verdana" w:cs="Calibri"/>
                <w:color w:val="000000"/>
                <w:sz w:val="20"/>
                <w:szCs w:val="20"/>
                <w:lang w:eastAsia="es-CO"/>
              </w:rPr>
              <w:t xml:space="preserve">apítulo XXXI </w:t>
            </w:r>
            <w:r w:rsidR="002D6E8B">
              <w:rPr>
                <w:rFonts w:ascii="Verdana" w:eastAsia="Times New Roman" w:hAnsi="Verdana" w:cs="Calibri"/>
                <w:color w:val="000000"/>
                <w:sz w:val="20"/>
                <w:szCs w:val="20"/>
                <w:lang w:eastAsia="es-CO"/>
              </w:rPr>
              <w:t xml:space="preserve">SIAR </w:t>
            </w:r>
            <w:r w:rsidRPr="00075DE0">
              <w:rPr>
                <w:rFonts w:ascii="Verdana" w:eastAsia="Times New Roman" w:hAnsi="Verdana" w:cs="Calibri"/>
                <w:color w:val="000000"/>
                <w:sz w:val="20"/>
                <w:szCs w:val="20"/>
                <w:lang w:eastAsia="es-CO"/>
              </w:rPr>
              <w:t xml:space="preserve">de la </w:t>
            </w:r>
            <w:r>
              <w:rPr>
                <w:rFonts w:ascii="Verdana" w:eastAsia="Times New Roman" w:hAnsi="Verdana" w:cs="Calibri"/>
                <w:color w:val="000000"/>
                <w:sz w:val="20"/>
                <w:szCs w:val="20"/>
                <w:lang w:eastAsia="es-CO"/>
              </w:rPr>
              <w:t>CBCF,</w:t>
            </w:r>
            <w:r w:rsidRPr="00075DE0">
              <w:rPr>
                <w:rFonts w:ascii="Verdana" w:eastAsia="Times New Roman" w:hAnsi="Verdana" w:cs="Calibri"/>
                <w:color w:val="000000"/>
                <w:sz w:val="20"/>
                <w:szCs w:val="20"/>
                <w:lang w:eastAsia="es-CO"/>
              </w:rPr>
              <w:t xml:space="preserve"> en la fecha de corte determinada</w:t>
            </w:r>
            <w:r>
              <w:rPr>
                <w:rFonts w:ascii="Verdana" w:eastAsia="Times New Roman" w:hAnsi="Verdana" w:cs="Calibri"/>
                <w:color w:val="000000"/>
                <w:sz w:val="20"/>
                <w:szCs w:val="20"/>
                <w:lang w:eastAsia="es-CO"/>
              </w:rPr>
              <w:t>.</w:t>
            </w:r>
          </w:p>
          <w:p w14:paraId="1E7E986C" w14:textId="77777777" w:rsidR="008E738A" w:rsidRDefault="008E738A" w:rsidP="00663431">
            <w:pPr>
              <w:jc w:val="both"/>
              <w:rPr>
                <w:rFonts w:ascii="Verdana" w:eastAsia="Times New Roman" w:hAnsi="Verdana" w:cs="Calibri"/>
                <w:color w:val="000000"/>
                <w:sz w:val="20"/>
                <w:szCs w:val="20"/>
                <w:lang w:eastAsia="es-CO"/>
              </w:rPr>
            </w:pPr>
          </w:p>
          <w:p w14:paraId="660D32D8" w14:textId="7CD71CD0" w:rsidR="008E738A" w:rsidRPr="00075DE0" w:rsidRDefault="008E738A" w:rsidP="00663431">
            <w:pPr>
              <w:jc w:val="both"/>
              <w:rPr>
                <w:rFonts w:ascii="Verdana" w:eastAsia="Times New Roman" w:hAnsi="Verdana" w:cs="Calibri"/>
                <w:color w:val="000000"/>
                <w:sz w:val="20"/>
                <w:szCs w:val="20"/>
                <w:lang w:eastAsia="es-CO"/>
              </w:rPr>
            </w:pPr>
            <w:r>
              <w:rPr>
                <w:rFonts w:ascii="Verdana" w:hAnsi="Verdana"/>
                <w:color w:val="000000"/>
                <w:sz w:val="20"/>
                <w:szCs w:val="20"/>
              </w:rPr>
              <w:t xml:space="preserve">También es obligatorio para el reporte de que trata el numeral 31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2FA6364B" w14:textId="77777777" w:rsidTr="0065472B">
        <w:trPr>
          <w:trHeight w:val="1123"/>
        </w:trPr>
        <w:tc>
          <w:tcPr>
            <w:tcW w:w="1705" w:type="dxa"/>
            <w:vAlign w:val="center"/>
            <w:hideMark/>
          </w:tcPr>
          <w:p w14:paraId="5F07CC41" w14:textId="3CFF32F5"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Provisión </w:t>
            </w:r>
            <w:r w:rsidR="002A3B64">
              <w:rPr>
                <w:rFonts w:ascii="Verdana" w:hAnsi="Verdana"/>
                <w:color w:val="000000"/>
                <w:sz w:val="20"/>
                <w:szCs w:val="20"/>
                <w:shd w:val="clear" w:color="auto" w:fill="FFFFFF"/>
              </w:rPr>
              <w:t>c</w:t>
            </w:r>
            <w:r w:rsidRPr="00075DE0">
              <w:rPr>
                <w:rFonts w:ascii="Verdana" w:hAnsi="Verdana"/>
                <w:color w:val="000000"/>
                <w:sz w:val="20"/>
                <w:szCs w:val="20"/>
                <w:shd w:val="clear" w:color="auto" w:fill="FFFFFF"/>
              </w:rPr>
              <w:t>ontracíclica</w:t>
            </w:r>
          </w:p>
        </w:tc>
        <w:tc>
          <w:tcPr>
            <w:tcW w:w="3147" w:type="dxa"/>
            <w:vAlign w:val="center"/>
          </w:tcPr>
          <w:p w14:paraId="4933CB34"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provision_contraciclica</w:t>
            </w:r>
          </w:p>
        </w:tc>
        <w:tc>
          <w:tcPr>
            <w:tcW w:w="4215" w:type="dxa"/>
            <w:vAlign w:val="center"/>
          </w:tcPr>
          <w:p w14:paraId="0CA81AD4" w14:textId="77777777" w:rsidR="00663431" w:rsidRDefault="00615F86"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monto del componente individual </w:t>
            </w:r>
            <w:r>
              <w:rPr>
                <w:rFonts w:ascii="Verdana" w:eastAsia="Times New Roman" w:hAnsi="Verdana" w:cs="Calibri"/>
                <w:color w:val="000000"/>
                <w:sz w:val="20"/>
                <w:szCs w:val="20"/>
                <w:lang w:eastAsia="es-CO"/>
              </w:rPr>
              <w:t>contracíclico</w:t>
            </w:r>
            <w:r w:rsidRPr="00075DE0">
              <w:rPr>
                <w:rFonts w:ascii="Verdana" w:eastAsia="Times New Roman" w:hAnsi="Verdana" w:cs="Calibri"/>
                <w:color w:val="000000"/>
                <w:sz w:val="20"/>
                <w:szCs w:val="20"/>
                <w:lang w:eastAsia="es-CO"/>
              </w:rPr>
              <w:t xml:space="preserve"> </w:t>
            </w:r>
            <w:r>
              <w:rPr>
                <w:rFonts w:ascii="Verdana" w:eastAsia="Times New Roman" w:hAnsi="Verdana" w:cs="Calibri"/>
                <w:color w:val="000000"/>
                <w:sz w:val="20"/>
                <w:szCs w:val="20"/>
                <w:lang w:eastAsia="es-CO"/>
              </w:rPr>
              <w:t xml:space="preserve">de las provisiones, calculado a partir </w:t>
            </w:r>
            <w:r w:rsidRPr="00075DE0">
              <w:rPr>
                <w:rFonts w:ascii="Verdana" w:eastAsia="Times New Roman" w:hAnsi="Verdana" w:cs="Calibri"/>
                <w:color w:val="000000"/>
                <w:sz w:val="20"/>
                <w:szCs w:val="20"/>
                <w:lang w:eastAsia="es-CO"/>
              </w:rPr>
              <w:t>de</w:t>
            </w:r>
            <w:r>
              <w:rPr>
                <w:rFonts w:ascii="Verdana" w:eastAsia="Times New Roman" w:hAnsi="Verdana" w:cs="Calibri"/>
                <w:color w:val="000000"/>
                <w:sz w:val="20"/>
                <w:szCs w:val="20"/>
                <w:lang w:eastAsia="es-CO"/>
              </w:rPr>
              <w:t xml:space="preserve">l modelo de referencia previsto en las instrucciones del </w:t>
            </w:r>
            <w:r w:rsidR="00314088">
              <w:rPr>
                <w:rFonts w:ascii="Verdana" w:eastAsia="Times New Roman" w:hAnsi="Verdana" w:cs="Calibri"/>
                <w:color w:val="000000"/>
                <w:sz w:val="20"/>
                <w:szCs w:val="20"/>
                <w:lang w:eastAsia="es-CO"/>
              </w:rPr>
              <w:t>a</w:t>
            </w:r>
            <w:r>
              <w:rPr>
                <w:rFonts w:ascii="Verdana" w:eastAsia="Times New Roman" w:hAnsi="Verdana" w:cs="Calibri"/>
                <w:color w:val="000000"/>
                <w:sz w:val="20"/>
                <w:szCs w:val="20"/>
                <w:lang w:eastAsia="es-CO"/>
              </w:rPr>
              <w:t>nexo 1 del</w:t>
            </w:r>
            <w:r w:rsidRPr="00075DE0">
              <w:rPr>
                <w:rFonts w:ascii="Verdana" w:eastAsia="Times New Roman" w:hAnsi="Verdana" w:cs="Calibri"/>
                <w:color w:val="000000"/>
                <w:sz w:val="20"/>
                <w:szCs w:val="20"/>
                <w:lang w:eastAsia="es-CO"/>
              </w:rPr>
              <w:t xml:space="preserve"> </w:t>
            </w:r>
            <w:r w:rsidR="00314088">
              <w:rPr>
                <w:rFonts w:ascii="Verdana" w:eastAsia="Times New Roman" w:hAnsi="Verdana" w:cs="Calibri"/>
                <w:color w:val="000000"/>
                <w:sz w:val="20"/>
                <w:szCs w:val="20"/>
                <w:lang w:eastAsia="es-CO"/>
              </w:rPr>
              <w:t>c</w:t>
            </w:r>
            <w:r w:rsidRPr="00075DE0">
              <w:rPr>
                <w:rFonts w:ascii="Verdana" w:eastAsia="Times New Roman" w:hAnsi="Verdana" w:cs="Calibri"/>
                <w:color w:val="000000"/>
                <w:sz w:val="20"/>
                <w:szCs w:val="20"/>
                <w:lang w:eastAsia="es-CO"/>
              </w:rPr>
              <w:t xml:space="preserve">apítulo XXXI </w:t>
            </w:r>
            <w:r w:rsidR="002D6E8B">
              <w:rPr>
                <w:rFonts w:ascii="Verdana" w:eastAsia="Times New Roman" w:hAnsi="Verdana" w:cs="Calibri"/>
                <w:color w:val="000000"/>
                <w:sz w:val="20"/>
                <w:szCs w:val="20"/>
                <w:lang w:eastAsia="es-CO"/>
              </w:rPr>
              <w:t xml:space="preserve">SIAR </w:t>
            </w:r>
            <w:r w:rsidRPr="00075DE0">
              <w:rPr>
                <w:rFonts w:ascii="Verdana" w:eastAsia="Times New Roman" w:hAnsi="Verdana" w:cs="Calibri"/>
                <w:color w:val="000000"/>
                <w:sz w:val="20"/>
                <w:szCs w:val="20"/>
                <w:lang w:eastAsia="es-CO"/>
              </w:rPr>
              <w:t xml:space="preserve">de la </w:t>
            </w:r>
            <w:r>
              <w:rPr>
                <w:rFonts w:ascii="Verdana" w:eastAsia="Times New Roman" w:hAnsi="Verdana" w:cs="Calibri"/>
                <w:color w:val="000000"/>
                <w:sz w:val="20"/>
                <w:szCs w:val="20"/>
                <w:lang w:eastAsia="es-CO"/>
              </w:rPr>
              <w:t>CBCF,</w:t>
            </w:r>
            <w:r w:rsidRPr="00075DE0">
              <w:rPr>
                <w:rFonts w:ascii="Verdana" w:eastAsia="Times New Roman" w:hAnsi="Verdana" w:cs="Calibri"/>
                <w:color w:val="000000"/>
                <w:sz w:val="20"/>
                <w:szCs w:val="20"/>
                <w:lang w:eastAsia="es-CO"/>
              </w:rPr>
              <w:t xml:space="preserve"> en la fecha de corte determinada</w:t>
            </w:r>
            <w:r>
              <w:rPr>
                <w:rFonts w:ascii="Verdana" w:eastAsia="Times New Roman" w:hAnsi="Verdana" w:cs="Calibri"/>
                <w:color w:val="000000"/>
                <w:sz w:val="20"/>
                <w:szCs w:val="20"/>
                <w:lang w:eastAsia="es-CO"/>
              </w:rPr>
              <w:t>.</w:t>
            </w:r>
          </w:p>
          <w:p w14:paraId="44AB4995" w14:textId="77777777" w:rsidR="008E738A" w:rsidRDefault="008E738A" w:rsidP="00663431">
            <w:pPr>
              <w:jc w:val="both"/>
              <w:rPr>
                <w:rFonts w:ascii="Verdana" w:eastAsia="Times New Roman" w:hAnsi="Verdana" w:cs="Calibri"/>
                <w:color w:val="000000"/>
                <w:sz w:val="20"/>
                <w:szCs w:val="20"/>
                <w:lang w:eastAsia="es-CO"/>
              </w:rPr>
            </w:pPr>
          </w:p>
          <w:p w14:paraId="630771D0" w14:textId="40BA7733" w:rsidR="008E738A" w:rsidRPr="00075DE0" w:rsidRDefault="008E738A" w:rsidP="00663431">
            <w:pPr>
              <w:jc w:val="both"/>
              <w:rPr>
                <w:rFonts w:ascii="Verdana" w:eastAsia="Times New Roman" w:hAnsi="Verdana" w:cs="Calibri"/>
                <w:color w:val="000000"/>
                <w:sz w:val="20"/>
                <w:szCs w:val="20"/>
                <w:lang w:eastAsia="es-CO"/>
              </w:rPr>
            </w:pPr>
            <w:r>
              <w:rPr>
                <w:rFonts w:ascii="Verdana" w:hAnsi="Verdana"/>
                <w:color w:val="000000"/>
                <w:sz w:val="20"/>
                <w:szCs w:val="20"/>
              </w:rPr>
              <w:lastRenderedPageBreak/>
              <w:t xml:space="preserve">También es obligatorio para el reporte de que trata el numeral 31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tc>
      </w:tr>
      <w:tr w:rsidR="00663431" w:rsidRPr="00075DE0" w14:paraId="0FFAB26B" w14:textId="77777777" w:rsidTr="00043CF1">
        <w:trPr>
          <w:trHeight w:val="1978"/>
        </w:trPr>
        <w:tc>
          <w:tcPr>
            <w:tcW w:w="1705" w:type="dxa"/>
            <w:vAlign w:val="center"/>
            <w:hideMark/>
          </w:tcPr>
          <w:p w14:paraId="167DAD25" w14:textId="2C03501C"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lastRenderedPageBreak/>
              <w:t xml:space="preserve">Provisión </w:t>
            </w:r>
            <w:r w:rsidR="002A3B64">
              <w:rPr>
                <w:rFonts w:ascii="Verdana" w:hAnsi="Verdana"/>
                <w:color w:val="000000"/>
                <w:sz w:val="20"/>
                <w:szCs w:val="20"/>
                <w:shd w:val="clear" w:color="auto" w:fill="FFFFFF"/>
              </w:rPr>
              <w:t>a</w:t>
            </w:r>
            <w:r w:rsidRPr="00075DE0">
              <w:rPr>
                <w:rFonts w:ascii="Verdana" w:hAnsi="Verdana"/>
                <w:color w:val="000000"/>
                <w:sz w:val="20"/>
                <w:szCs w:val="20"/>
                <w:shd w:val="clear" w:color="auto" w:fill="FFFFFF"/>
              </w:rPr>
              <w:t xml:space="preserve">dicional política </w:t>
            </w:r>
            <w:r w:rsidR="002A3B64">
              <w:rPr>
                <w:rFonts w:ascii="Verdana" w:hAnsi="Verdana"/>
                <w:color w:val="000000"/>
                <w:sz w:val="20"/>
                <w:szCs w:val="20"/>
                <w:shd w:val="clear" w:color="auto" w:fill="FFFFFF"/>
              </w:rPr>
              <w:t>e</w:t>
            </w:r>
            <w:r w:rsidRPr="00075DE0">
              <w:rPr>
                <w:rFonts w:ascii="Verdana" w:hAnsi="Verdana"/>
                <w:color w:val="000000"/>
                <w:sz w:val="20"/>
                <w:szCs w:val="20"/>
                <w:shd w:val="clear" w:color="auto" w:fill="FFFFFF"/>
              </w:rPr>
              <w:t>ntidad</w:t>
            </w:r>
          </w:p>
        </w:tc>
        <w:tc>
          <w:tcPr>
            <w:tcW w:w="3147" w:type="dxa"/>
            <w:vAlign w:val="center"/>
          </w:tcPr>
          <w:p w14:paraId="6E682C5F"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provision_adicional</w:t>
            </w:r>
          </w:p>
          <w:p w14:paraId="2D7B20BD"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_politica_entidad</w:t>
            </w:r>
          </w:p>
        </w:tc>
        <w:tc>
          <w:tcPr>
            <w:tcW w:w="4215" w:type="dxa"/>
            <w:vAlign w:val="center"/>
          </w:tcPr>
          <w:p w14:paraId="0A4808E1"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monto de</w:t>
            </w:r>
            <w:r w:rsidR="007B5723">
              <w:rPr>
                <w:rFonts w:ascii="Verdana" w:eastAsia="Times New Roman" w:hAnsi="Verdana" w:cs="Calibri"/>
                <w:color w:val="000000"/>
                <w:sz w:val="20"/>
                <w:szCs w:val="20"/>
                <w:lang w:eastAsia="es-CO"/>
              </w:rPr>
              <w:t xml:space="preserve"> la</w:t>
            </w:r>
            <w:r w:rsidRPr="00075DE0">
              <w:rPr>
                <w:rFonts w:ascii="Verdana" w:eastAsia="Times New Roman" w:hAnsi="Verdana" w:cs="Calibri"/>
                <w:color w:val="000000"/>
                <w:sz w:val="20"/>
                <w:szCs w:val="20"/>
                <w:lang w:eastAsia="es-CO"/>
              </w:rPr>
              <w:t xml:space="preserve"> provisión adicional establecida por la entidad según sus políticas internas</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en la fecha de corte determinada</w:t>
            </w:r>
            <w:r>
              <w:rPr>
                <w:rFonts w:ascii="Verdana" w:eastAsia="Times New Roman" w:hAnsi="Verdana" w:cs="Calibri"/>
                <w:color w:val="000000"/>
                <w:sz w:val="20"/>
                <w:szCs w:val="20"/>
                <w:lang w:eastAsia="es-CO"/>
              </w:rPr>
              <w:t>.</w:t>
            </w:r>
          </w:p>
          <w:p w14:paraId="309BE7B7" w14:textId="77777777" w:rsidR="008E738A" w:rsidRDefault="008E738A" w:rsidP="00663431">
            <w:pPr>
              <w:jc w:val="both"/>
              <w:rPr>
                <w:rFonts w:ascii="Verdana" w:eastAsia="Times New Roman" w:hAnsi="Verdana" w:cs="Calibri"/>
                <w:color w:val="000000"/>
                <w:sz w:val="20"/>
                <w:szCs w:val="20"/>
                <w:lang w:eastAsia="es-CO"/>
              </w:rPr>
            </w:pPr>
          </w:p>
          <w:p w14:paraId="52F1624C" w14:textId="77777777" w:rsidR="0065472B" w:rsidRDefault="008E738A" w:rsidP="00663431">
            <w:pPr>
              <w:jc w:val="both"/>
              <w:rPr>
                <w:rFonts w:ascii="Verdana" w:hAnsi="Verdana"/>
                <w:bCs/>
                <w:sz w:val="20"/>
                <w:szCs w:val="20"/>
              </w:rPr>
            </w:pPr>
            <w:r>
              <w:rPr>
                <w:rFonts w:ascii="Verdana" w:hAnsi="Verdana"/>
                <w:color w:val="000000"/>
                <w:sz w:val="20"/>
                <w:szCs w:val="20"/>
              </w:rPr>
              <w:t xml:space="preserve">También es obligatorio para el reporte de que trata el numeral 31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p w14:paraId="67A3BF9C" w14:textId="5439E7D9" w:rsidR="0065472B" w:rsidRPr="0065472B" w:rsidRDefault="0065472B" w:rsidP="00663431">
            <w:pPr>
              <w:jc w:val="both"/>
              <w:rPr>
                <w:rFonts w:ascii="Verdana" w:hAnsi="Verdana"/>
                <w:bCs/>
                <w:sz w:val="20"/>
                <w:szCs w:val="20"/>
              </w:rPr>
            </w:pPr>
          </w:p>
        </w:tc>
      </w:tr>
      <w:tr w:rsidR="00663431" w:rsidRPr="00075DE0" w14:paraId="74795398" w14:textId="77777777" w:rsidTr="00043CF1">
        <w:trPr>
          <w:trHeight w:val="2184"/>
        </w:trPr>
        <w:tc>
          <w:tcPr>
            <w:tcW w:w="1705" w:type="dxa"/>
            <w:vAlign w:val="center"/>
            <w:hideMark/>
          </w:tcPr>
          <w:p w14:paraId="1F9B782F" w14:textId="6C2244FB" w:rsidR="00663431" w:rsidRPr="00075DE0" w:rsidRDefault="00032B20" w:rsidP="00663431">
            <w:pPr>
              <w:jc w:val="center"/>
              <w:rPr>
                <w:rFonts w:ascii="Verdana" w:eastAsia="Times New Roman" w:hAnsi="Verdana" w:cs="Calibri"/>
                <w:sz w:val="20"/>
                <w:szCs w:val="20"/>
                <w:lang w:eastAsia="es-CO"/>
              </w:rPr>
            </w:pPr>
            <w:r>
              <w:rPr>
                <w:rFonts w:ascii="Verdana" w:hAnsi="Verdana"/>
                <w:color w:val="000000"/>
                <w:sz w:val="20"/>
                <w:szCs w:val="20"/>
                <w:shd w:val="clear" w:color="auto" w:fill="FFFFFF"/>
              </w:rPr>
              <w:t>Otras provisiones individuales</w:t>
            </w:r>
          </w:p>
        </w:tc>
        <w:tc>
          <w:tcPr>
            <w:tcW w:w="3147" w:type="dxa"/>
            <w:vAlign w:val="center"/>
          </w:tcPr>
          <w:p w14:paraId="2A5E573A"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provision_otros</w:t>
            </w:r>
          </w:p>
        </w:tc>
        <w:tc>
          <w:tcPr>
            <w:tcW w:w="4215" w:type="dxa"/>
            <w:vAlign w:val="center"/>
          </w:tcPr>
          <w:p w14:paraId="1BB0A632" w14:textId="6228C1E6"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Registre el monto de cualquier otra provisión no clasificada en las categorías</w:t>
            </w:r>
            <w:r w:rsidR="0049646D">
              <w:rPr>
                <w:rFonts w:ascii="Verdana" w:eastAsia="Times New Roman" w:hAnsi="Verdana" w:cs="Calibri"/>
                <w:color w:val="000000"/>
                <w:sz w:val="20"/>
                <w:szCs w:val="20"/>
                <w:lang w:eastAsia="es-CO"/>
              </w:rPr>
              <w:t xml:space="preserve"> </w:t>
            </w:r>
            <w:r w:rsidR="0049646D" w:rsidRPr="00075DE0">
              <w:rPr>
                <w:rFonts w:ascii="Verdana" w:eastAsia="Times New Roman" w:hAnsi="Verdana" w:cs="Calibri"/>
                <w:color w:val="000000"/>
                <w:sz w:val="20"/>
                <w:szCs w:val="20"/>
                <w:lang w:eastAsia="es-CO"/>
              </w:rPr>
              <w:t>anteriores</w:t>
            </w:r>
            <w:r w:rsidR="00A02360">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en la fecha de corte determinada (</w:t>
            </w:r>
            <w:r w:rsidR="0049646D">
              <w:rPr>
                <w:rFonts w:ascii="Verdana" w:eastAsia="Times New Roman" w:hAnsi="Verdana" w:cs="Calibri"/>
                <w:color w:val="000000"/>
                <w:sz w:val="20"/>
                <w:szCs w:val="20"/>
                <w:lang w:eastAsia="es-CO"/>
              </w:rPr>
              <w:t>p</w:t>
            </w:r>
            <w:r w:rsidRPr="00075DE0">
              <w:rPr>
                <w:rFonts w:ascii="Verdana" w:eastAsia="Times New Roman" w:hAnsi="Verdana" w:cs="Calibri"/>
                <w:color w:val="000000"/>
                <w:sz w:val="20"/>
                <w:szCs w:val="20"/>
                <w:lang w:eastAsia="es-CO"/>
              </w:rPr>
              <w:t xml:space="preserve">rovisión </w:t>
            </w:r>
            <w:r w:rsidR="005B336F">
              <w:rPr>
                <w:rFonts w:ascii="Verdana" w:eastAsia="Times New Roman" w:hAnsi="Verdana" w:cs="Calibri"/>
                <w:color w:val="000000"/>
                <w:sz w:val="20"/>
                <w:szCs w:val="20"/>
                <w:lang w:eastAsia="es-CO"/>
              </w:rPr>
              <w:t xml:space="preserve">individual </w:t>
            </w:r>
            <w:r w:rsidRPr="00075DE0">
              <w:rPr>
                <w:rFonts w:ascii="Verdana" w:eastAsia="Times New Roman" w:hAnsi="Verdana" w:cs="Calibri"/>
                <w:color w:val="000000"/>
                <w:sz w:val="20"/>
                <w:szCs w:val="20"/>
                <w:lang w:eastAsia="es-CO"/>
              </w:rPr>
              <w:t>por modelo determinístico)</w:t>
            </w:r>
            <w:r w:rsidR="00DB06E6">
              <w:rPr>
                <w:rFonts w:ascii="Verdana" w:eastAsia="Times New Roman" w:hAnsi="Verdana" w:cs="Calibri"/>
                <w:color w:val="000000"/>
                <w:sz w:val="20"/>
                <w:szCs w:val="20"/>
                <w:lang w:eastAsia="es-CO"/>
              </w:rPr>
              <w:t>.</w:t>
            </w:r>
            <w:r w:rsidR="00FA7A8C">
              <w:rPr>
                <w:rFonts w:ascii="Verdana" w:eastAsia="Times New Roman" w:hAnsi="Verdana" w:cs="Calibri"/>
                <w:color w:val="000000"/>
                <w:sz w:val="20"/>
                <w:szCs w:val="20"/>
                <w:lang w:eastAsia="es-CO"/>
              </w:rPr>
              <w:t xml:space="preserve"> En este variable se debe incluir el valor de las provisiones que realicen las entidades de acuerdo con </w:t>
            </w:r>
            <w:r w:rsidR="000B3298">
              <w:rPr>
                <w:rFonts w:ascii="Verdana" w:eastAsia="Times New Roman" w:hAnsi="Verdana" w:cs="Calibri"/>
                <w:color w:val="000000"/>
                <w:sz w:val="20"/>
                <w:szCs w:val="20"/>
                <w:lang w:eastAsia="es-CO"/>
              </w:rPr>
              <w:t xml:space="preserve">la </w:t>
            </w:r>
            <w:r w:rsidR="00FA7A8C">
              <w:rPr>
                <w:rFonts w:ascii="Verdana" w:eastAsia="Times New Roman" w:hAnsi="Verdana" w:cs="Calibri"/>
                <w:color w:val="000000"/>
                <w:sz w:val="20"/>
                <w:szCs w:val="20"/>
                <w:lang w:eastAsia="es-CO"/>
              </w:rPr>
              <w:t>normatividad diferente a la CBCF</w:t>
            </w:r>
            <w:r w:rsidR="002624A7">
              <w:rPr>
                <w:rFonts w:ascii="Verdana" w:eastAsia="Times New Roman" w:hAnsi="Verdana" w:cs="Calibri"/>
                <w:color w:val="000000"/>
                <w:sz w:val="20"/>
                <w:szCs w:val="20"/>
                <w:lang w:eastAsia="es-CO"/>
              </w:rPr>
              <w:t>, o bajo su política contable</w:t>
            </w:r>
            <w:r w:rsidR="00CA3572">
              <w:rPr>
                <w:rFonts w:ascii="Verdana" w:eastAsia="Times New Roman" w:hAnsi="Verdana" w:cs="Calibri"/>
                <w:color w:val="000000"/>
                <w:sz w:val="20"/>
                <w:szCs w:val="20"/>
                <w:lang w:eastAsia="es-CO"/>
              </w:rPr>
              <w:t>.</w:t>
            </w:r>
          </w:p>
          <w:p w14:paraId="01DBAA95" w14:textId="77777777" w:rsidR="002729EE" w:rsidRDefault="002729EE" w:rsidP="00663431">
            <w:pPr>
              <w:jc w:val="both"/>
              <w:rPr>
                <w:rFonts w:ascii="Verdana" w:eastAsia="Times New Roman" w:hAnsi="Verdana" w:cs="Calibri"/>
                <w:color w:val="000000"/>
                <w:sz w:val="20"/>
                <w:szCs w:val="20"/>
                <w:lang w:eastAsia="es-CO"/>
              </w:rPr>
            </w:pPr>
          </w:p>
          <w:p w14:paraId="3391A565" w14:textId="77777777" w:rsidR="008E738A" w:rsidRDefault="008E738A" w:rsidP="00663431">
            <w:pPr>
              <w:jc w:val="both"/>
              <w:rPr>
                <w:rFonts w:ascii="Verdana" w:hAnsi="Verdana"/>
                <w:bCs/>
                <w:sz w:val="20"/>
                <w:szCs w:val="20"/>
              </w:rPr>
            </w:pPr>
            <w:r>
              <w:rPr>
                <w:rFonts w:ascii="Verdana" w:hAnsi="Verdana"/>
                <w:color w:val="000000"/>
                <w:sz w:val="20"/>
                <w:szCs w:val="20"/>
              </w:rPr>
              <w:t xml:space="preserve">También es obligatorio para el reporte de que trata el numeral 31 de las </w:t>
            </w:r>
            <w:r w:rsidRPr="00422DCE">
              <w:rPr>
                <w:rFonts w:ascii="Verdana" w:hAnsi="Verdana"/>
                <w:bCs/>
                <w:sz w:val="20"/>
                <w:szCs w:val="20"/>
              </w:rPr>
              <w:t>«</w:t>
            </w:r>
            <w:r w:rsidRPr="00075DE0">
              <w:rPr>
                <w:rFonts w:ascii="Verdana" w:hAnsi="Verdana"/>
                <w:bCs/>
                <w:sz w:val="20"/>
                <w:szCs w:val="20"/>
              </w:rPr>
              <w:t>Re</w:t>
            </w:r>
            <w:r>
              <w:rPr>
                <w:rFonts w:ascii="Verdana" w:hAnsi="Verdana"/>
                <w:bCs/>
                <w:sz w:val="20"/>
                <w:szCs w:val="20"/>
              </w:rPr>
              <w:t>glas generales de diligenciamiento</w:t>
            </w:r>
            <w:r w:rsidRPr="00BD40EF">
              <w:rPr>
                <w:rFonts w:ascii="Verdana" w:hAnsi="Verdana"/>
                <w:bCs/>
                <w:sz w:val="20"/>
                <w:szCs w:val="20"/>
              </w:rPr>
              <w:t>»</w:t>
            </w:r>
            <w:r>
              <w:rPr>
                <w:rFonts w:ascii="Verdana" w:hAnsi="Verdana"/>
                <w:bCs/>
                <w:sz w:val="20"/>
                <w:szCs w:val="20"/>
              </w:rPr>
              <w:t xml:space="preserve"> del presente documento.</w:t>
            </w:r>
          </w:p>
          <w:p w14:paraId="00450FBC" w14:textId="5D4E422D" w:rsidR="0065472B" w:rsidRPr="00075DE0" w:rsidRDefault="0065472B" w:rsidP="00663431">
            <w:pPr>
              <w:jc w:val="both"/>
              <w:rPr>
                <w:rFonts w:ascii="Verdana" w:eastAsia="Times New Roman" w:hAnsi="Verdana" w:cs="Calibri"/>
                <w:color w:val="000000"/>
                <w:sz w:val="20"/>
                <w:szCs w:val="20"/>
                <w:lang w:eastAsia="es-CO"/>
              </w:rPr>
            </w:pPr>
          </w:p>
        </w:tc>
      </w:tr>
      <w:tr w:rsidR="00663431" w:rsidRPr="00075DE0" w14:paraId="343DEDB3" w14:textId="77777777" w:rsidTr="00043CF1">
        <w:trPr>
          <w:trHeight w:val="2539"/>
        </w:trPr>
        <w:tc>
          <w:tcPr>
            <w:tcW w:w="1705" w:type="dxa"/>
            <w:vAlign w:val="center"/>
          </w:tcPr>
          <w:p w14:paraId="6D88E62E"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Cuota esperada - Capital</w:t>
            </w:r>
          </w:p>
        </w:tc>
        <w:tc>
          <w:tcPr>
            <w:tcW w:w="3147" w:type="dxa"/>
            <w:vAlign w:val="center"/>
          </w:tcPr>
          <w:p w14:paraId="37F35398"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cuota_esperada_</w:t>
            </w:r>
          </w:p>
          <w:p w14:paraId="0CDAC2D1"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capital</w:t>
            </w:r>
          </w:p>
        </w:tc>
        <w:tc>
          <w:tcPr>
            <w:tcW w:w="4215" w:type="dxa"/>
            <w:vAlign w:val="center"/>
          </w:tcPr>
          <w:p w14:paraId="25F460A6" w14:textId="2A31BBC8"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w:t>
            </w:r>
            <w:r w:rsidR="00626883">
              <w:rPr>
                <w:rFonts w:ascii="Verdana" w:eastAsia="Times New Roman" w:hAnsi="Verdana" w:cs="Calibri"/>
                <w:color w:val="000000"/>
                <w:sz w:val="20"/>
                <w:szCs w:val="20"/>
                <w:lang w:eastAsia="es-CO"/>
              </w:rPr>
              <w:t>total</w:t>
            </w:r>
            <w:r w:rsidRPr="00075DE0">
              <w:rPr>
                <w:rFonts w:ascii="Verdana" w:eastAsia="Times New Roman" w:hAnsi="Verdana" w:cs="Calibri"/>
                <w:color w:val="000000"/>
                <w:sz w:val="20"/>
                <w:szCs w:val="20"/>
                <w:lang w:eastAsia="es-CO"/>
              </w:rPr>
              <w:t xml:space="preserve"> </w:t>
            </w:r>
            <w:r w:rsidR="00F526AF" w:rsidRPr="00075DE0">
              <w:rPr>
                <w:rFonts w:ascii="Verdana" w:eastAsia="Times New Roman" w:hAnsi="Verdana" w:cs="Calibri"/>
                <w:color w:val="000000"/>
                <w:sz w:val="20"/>
                <w:szCs w:val="20"/>
                <w:lang w:eastAsia="es-CO"/>
              </w:rPr>
              <w:t>de la</w:t>
            </w:r>
            <w:r w:rsidR="00F526AF">
              <w:rPr>
                <w:rFonts w:ascii="Verdana" w:eastAsia="Times New Roman" w:hAnsi="Verdana" w:cs="Calibri"/>
                <w:color w:val="000000"/>
                <w:sz w:val="20"/>
                <w:szCs w:val="20"/>
                <w:lang w:eastAsia="es-CO"/>
              </w:rPr>
              <w:t>s</w:t>
            </w:r>
            <w:r w:rsidR="00F526AF" w:rsidRPr="00075DE0">
              <w:rPr>
                <w:rFonts w:ascii="Verdana" w:eastAsia="Times New Roman" w:hAnsi="Verdana" w:cs="Calibri"/>
                <w:color w:val="000000"/>
                <w:sz w:val="20"/>
                <w:szCs w:val="20"/>
                <w:lang w:eastAsia="es-CO"/>
              </w:rPr>
              <w:t xml:space="preserve"> cuotas del crédito </w:t>
            </w:r>
            <w:r w:rsidRPr="00075DE0">
              <w:rPr>
                <w:rFonts w:ascii="Verdana" w:eastAsia="Times New Roman" w:hAnsi="Verdana" w:cs="Calibri"/>
                <w:color w:val="000000"/>
                <w:sz w:val="20"/>
                <w:szCs w:val="20"/>
                <w:lang w:eastAsia="es-CO"/>
              </w:rPr>
              <w:t>que espera recibir la entidad como pago por parte del deudor y que debe cancelar durante el período (considere únicamente capital). Las proyecciones de las</w:t>
            </w:r>
            <w:r w:rsidR="00F526AF">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cuotas esperadas deberán efectuarse sobre la cartera que la entidad espera recuperar, es decir</w:t>
            </w:r>
            <w:r w:rsidR="00DB06E6">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sin incluir la cartera sobre la cual la entidad tiene un estimativo de pérdida.</w:t>
            </w:r>
          </w:p>
          <w:p w14:paraId="79B5A35C" w14:textId="77777777" w:rsidR="001855E9" w:rsidRDefault="001855E9" w:rsidP="00663431">
            <w:pPr>
              <w:jc w:val="both"/>
              <w:rPr>
                <w:rFonts w:ascii="Verdana" w:eastAsia="Times New Roman" w:hAnsi="Verdana" w:cs="Calibri"/>
                <w:color w:val="000000"/>
                <w:sz w:val="20"/>
                <w:szCs w:val="20"/>
                <w:lang w:eastAsia="es-CO"/>
              </w:rPr>
            </w:pPr>
          </w:p>
          <w:p w14:paraId="4770E6E1" w14:textId="77777777" w:rsidR="008E738A" w:rsidRDefault="001855E9" w:rsidP="00663431">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 xml:space="preserve">Si en un determinado reporte no se tiene cuota esperada dado que la periodicidad de pago es </w:t>
            </w:r>
            <w:r w:rsidR="00381897">
              <w:rPr>
                <w:rFonts w:ascii="Verdana" w:eastAsia="Times New Roman" w:hAnsi="Verdana" w:cs="Calibri"/>
                <w:color w:val="000000"/>
                <w:sz w:val="20"/>
                <w:szCs w:val="20"/>
                <w:lang w:eastAsia="es-CO"/>
              </w:rPr>
              <w:t>mayor</w:t>
            </w:r>
            <w:r>
              <w:rPr>
                <w:rFonts w:ascii="Verdana" w:eastAsia="Times New Roman" w:hAnsi="Verdana" w:cs="Calibri"/>
                <w:color w:val="000000"/>
                <w:sz w:val="20"/>
                <w:szCs w:val="20"/>
                <w:lang w:eastAsia="es-CO"/>
              </w:rPr>
              <w:t xml:space="preserve"> a la mensual, no se debe reportar esta variable hasta el reporte en donde se espere recibir la cuota.</w:t>
            </w:r>
          </w:p>
          <w:p w14:paraId="5A3EBF4E" w14:textId="0933E5B7" w:rsidR="004F1B5C" w:rsidRPr="00075DE0" w:rsidRDefault="004F1B5C" w:rsidP="00663431">
            <w:pPr>
              <w:jc w:val="both"/>
              <w:rPr>
                <w:rFonts w:ascii="Verdana" w:eastAsia="Times New Roman" w:hAnsi="Verdana" w:cs="Calibri"/>
                <w:color w:val="000000"/>
                <w:sz w:val="20"/>
                <w:szCs w:val="20"/>
                <w:lang w:eastAsia="es-CO"/>
              </w:rPr>
            </w:pPr>
          </w:p>
        </w:tc>
      </w:tr>
      <w:tr w:rsidR="00663431" w:rsidRPr="00075DE0" w14:paraId="76CF4C7B" w14:textId="77777777" w:rsidTr="00043CF1">
        <w:trPr>
          <w:trHeight w:val="1630"/>
        </w:trPr>
        <w:tc>
          <w:tcPr>
            <w:tcW w:w="1705" w:type="dxa"/>
            <w:vAlign w:val="center"/>
          </w:tcPr>
          <w:p w14:paraId="46D4C81D" w14:textId="77777777"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Cuota esperada - Intereses</w:t>
            </w:r>
          </w:p>
        </w:tc>
        <w:tc>
          <w:tcPr>
            <w:tcW w:w="3147" w:type="dxa"/>
            <w:vAlign w:val="center"/>
          </w:tcPr>
          <w:p w14:paraId="6C0DE370"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cuota_esperada_</w:t>
            </w:r>
          </w:p>
          <w:p w14:paraId="6BDB36E5"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intereses</w:t>
            </w:r>
          </w:p>
        </w:tc>
        <w:tc>
          <w:tcPr>
            <w:tcW w:w="4215" w:type="dxa"/>
            <w:vAlign w:val="center"/>
          </w:tcPr>
          <w:p w14:paraId="0168DD2F" w14:textId="313F4E06"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w:t>
            </w:r>
            <w:r w:rsidR="00381897">
              <w:rPr>
                <w:rFonts w:ascii="Verdana" w:eastAsia="Times New Roman" w:hAnsi="Verdana" w:cs="Calibri"/>
                <w:color w:val="000000"/>
                <w:sz w:val="20"/>
                <w:szCs w:val="20"/>
                <w:lang w:eastAsia="es-CO"/>
              </w:rPr>
              <w:t>total</w:t>
            </w:r>
            <w:r w:rsidRPr="00075DE0">
              <w:rPr>
                <w:rFonts w:ascii="Verdana" w:eastAsia="Times New Roman" w:hAnsi="Verdana" w:cs="Calibri"/>
                <w:color w:val="000000"/>
                <w:sz w:val="20"/>
                <w:szCs w:val="20"/>
                <w:lang w:eastAsia="es-CO"/>
              </w:rPr>
              <w:t xml:space="preserve"> </w:t>
            </w:r>
            <w:r w:rsidR="00381897" w:rsidRPr="00075DE0">
              <w:rPr>
                <w:rFonts w:ascii="Verdana" w:eastAsia="Times New Roman" w:hAnsi="Verdana" w:cs="Calibri"/>
                <w:color w:val="000000"/>
                <w:sz w:val="20"/>
                <w:szCs w:val="20"/>
                <w:lang w:eastAsia="es-CO"/>
              </w:rPr>
              <w:t>de la</w:t>
            </w:r>
            <w:r w:rsidR="00381897">
              <w:rPr>
                <w:rFonts w:ascii="Verdana" w:eastAsia="Times New Roman" w:hAnsi="Verdana" w:cs="Calibri"/>
                <w:color w:val="000000"/>
                <w:sz w:val="20"/>
                <w:szCs w:val="20"/>
                <w:lang w:eastAsia="es-CO"/>
              </w:rPr>
              <w:t>s</w:t>
            </w:r>
            <w:r w:rsidR="00381897" w:rsidRPr="00075DE0">
              <w:rPr>
                <w:rFonts w:ascii="Verdana" w:eastAsia="Times New Roman" w:hAnsi="Verdana" w:cs="Calibri"/>
                <w:color w:val="000000"/>
                <w:sz w:val="20"/>
                <w:szCs w:val="20"/>
                <w:lang w:eastAsia="es-CO"/>
              </w:rPr>
              <w:t xml:space="preserve"> cuotas del crédito </w:t>
            </w:r>
            <w:r w:rsidRPr="00075DE0">
              <w:rPr>
                <w:rFonts w:ascii="Verdana" w:eastAsia="Times New Roman" w:hAnsi="Verdana" w:cs="Calibri"/>
                <w:color w:val="000000"/>
                <w:sz w:val="20"/>
                <w:szCs w:val="20"/>
                <w:lang w:eastAsia="es-CO"/>
              </w:rPr>
              <w:t>que espera recibir la entidad como pago por parte del deudor y que debe cancelar durante el período (considere únicamente intereses). Las proyecciones de las cuotas esperadas deberán</w:t>
            </w:r>
            <w:r w:rsidR="00CC557B">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efectuarse sobre la cartera que la entidad espera recuperar, es decir sin incluir la cartera sobre la cual la entidad tiene un estimativo de pérdida.</w:t>
            </w:r>
          </w:p>
          <w:p w14:paraId="3B48BDEA" w14:textId="77777777" w:rsidR="00E0221E" w:rsidRDefault="00E0221E" w:rsidP="00663431">
            <w:pPr>
              <w:jc w:val="both"/>
              <w:rPr>
                <w:rFonts w:ascii="Verdana" w:eastAsia="Times New Roman" w:hAnsi="Verdana" w:cs="Calibri"/>
                <w:color w:val="000000"/>
                <w:sz w:val="20"/>
                <w:szCs w:val="20"/>
                <w:lang w:eastAsia="es-CO"/>
              </w:rPr>
            </w:pPr>
          </w:p>
          <w:p w14:paraId="73C09103" w14:textId="77777777" w:rsidR="008E738A" w:rsidRDefault="00E0221E" w:rsidP="00663431">
            <w:pPr>
              <w:jc w:val="both"/>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 xml:space="preserve">Si en un determinado reporte no se tiene cuota esperada dado que la periodicidad de pago es </w:t>
            </w:r>
            <w:r w:rsidR="00B761EF">
              <w:rPr>
                <w:rFonts w:ascii="Verdana" w:eastAsia="Times New Roman" w:hAnsi="Verdana" w:cs="Calibri"/>
                <w:color w:val="000000"/>
                <w:sz w:val="20"/>
                <w:szCs w:val="20"/>
                <w:lang w:eastAsia="es-CO"/>
              </w:rPr>
              <w:t>mayor</w:t>
            </w:r>
            <w:r>
              <w:rPr>
                <w:rFonts w:ascii="Verdana" w:eastAsia="Times New Roman" w:hAnsi="Verdana" w:cs="Calibri"/>
                <w:color w:val="000000"/>
                <w:sz w:val="20"/>
                <w:szCs w:val="20"/>
                <w:lang w:eastAsia="es-CO"/>
              </w:rPr>
              <w:t xml:space="preserve"> a la mensual, no se debe reportar esta variable hasta el reporte en donde se espere recibir la cuota. </w:t>
            </w:r>
          </w:p>
          <w:p w14:paraId="514247F4" w14:textId="754DEC30" w:rsidR="004F1B5C" w:rsidRPr="00075DE0" w:rsidRDefault="004F1B5C" w:rsidP="00663431">
            <w:pPr>
              <w:jc w:val="both"/>
              <w:rPr>
                <w:rFonts w:ascii="Verdana" w:eastAsia="Times New Roman" w:hAnsi="Verdana" w:cs="Calibri"/>
                <w:color w:val="000000"/>
                <w:sz w:val="20"/>
                <w:szCs w:val="20"/>
                <w:lang w:eastAsia="es-CO"/>
              </w:rPr>
            </w:pPr>
          </w:p>
        </w:tc>
      </w:tr>
      <w:tr w:rsidR="00663431" w:rsidRPr="00075DE0" w14:paraId="0EED780C" w14:textId="77777777" w:rsidTr="00043CF1">
        <w:trPr>
          <w:trHeight w:val="1630"/>
        </w:trPr>
        <w:tc>
          <w:tcPr>
            <w:tcW w:w="1705" w:type="dxa"/>
            <w:vAlign w:val="center"/>
          </w:tcPr>
          <w:p w14:paraId="09B5F9A8" w14:textId="6964A504" w:rsidR="00663431" w:rsidRPr="00075DE0" w:rsidRDefault="00736B46" w:rsidP="00663431">
            <w:pPr>
              <w:jc w:val="center"/>
              <w:rPr>
                <w:rFonts w:ascii="Verdana" w:eastAsia="Times New Roman" w:hAnsi="Verdana" w:cs="Calibri"/>
                <w:sz w:val="20"/>
                <w:szCs w:val="20"/>
                <w:lang w:eastAsia="es-CO"/>
              </w:rPr>
            </w:pPr>
            <w:r>
              <w:rPr>
                <w:rFonts w:ascii="Verdana" w:hAnsi="Verdana"/>
                <w:color w:val="000000"/>
                <w:sz w:val="20"/>
                <w:szCs w:val="20"/>
                <w:shd w:val="clear" w:color="auto" w:fill="FFFFFF"/>
              </w:rPr>
              <w:lastRenderedPageBreak/>
              <w:t>Pagos</w:t>
            </w:r>
            <w:r w:rsidR="00663431" w:rsidRPr="00075DE0">
              <w:rPr>
                <w:rFonts w:ascii="Verdana" w:hAnsi="Verdana"/>
                <w:color w:val="000000"/>
                <w:sz w:val="20"/>
                <w:szCs w:val="20"/>
                <w:shd w:val="clear" w:color="auto" w:fill="FFFFFF"/>
              </w:rPr>
              <w:t xml:space="preserve"> recibid</w:t>
            </w:r>
            <w:r>
              <w:rPr>
                <w:rFonts w:ascii="Verdana" w:hAnsi="Verdana"/>
                <w:color w:val="000000"/>
                <w:sz w:val="20"/>
                <w:szCs w:val="20"/>
                <w:shd w:val="clear" w:color="auto" w:fill="FFFFFF"/>
              </w:rPr>
              <w:t>os</w:t>
            </w:r>
            <w:r w:rsidR="00663431" w:rsidRPr="00075DE0">
              <w:rPr>
                <w:rFonts w:ascii="Verdana" w:hAnsi="Verdana"/>
                <w:color w:val="000000"/>
                <w:sz w:val="20"/>
                <w:szCs w:val="20"/>
                <w:shd w:val="clear" w:color="auto" w:fill="FFFFFF"/>
              </w:rPr>
              <w:t xml:space="preserve"> - Capital</w:t>
            </w:r>
          </w:p>
        </w:tc>
        <w:tc>
          <w:tcPr>
            <w:tcW w:w="3147" w:type="dxa"/>
            <w:vAlign w:val="center"/>
          </w:tcPr>
          <w:p w14:paraId="253755F5" w14:textId="00A9CBB2" w:rsidR="00663431" w:rsidRPr="00075DE0" w:rsidRDefault="00736B46" w:rsidP="00663431">
            <w:pPr>
              <w:jc w:val="center"/>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pago</w:t>
            </w:r>
            <w:r w:rsidR="00663431" w:rsidRPr="00075DE0">
              <w:rPr>
                <w:rFonts w:ascii="Verdana" w:eastAsia="Times New Roman" w:hAnsi="Verdana" w:cs="Calibri"/>
                <w:color w:val="000000"/>
                <w:sz w:val="20"/>
                <w:szCs w:val="20"/>
                <w:lang w:eastAsia="es-CO"/>
              </w:rPr>
              <w:t>_recibid</w:t>
            </w:r>
            <w:r>
              <w:rPr>
                <w:rFonts w:ascii="Verdana" w:eastAsia="Times New Roman" w:hAnsi="Verdana" w:cs="Calibri"/>
                <w:color w:val="000000"/>
                <w:sz w:val="20"/>
                <w:szCs w:val="20"/>
                <w:lang w:eastAsia="es-CO"/>
              </w:rPr>
              <w:t>o</w:t>
            </w:r>
            <w:r w:rsidR="00663431" w:rsidRPr="00075DE0">
              <w:rPr>
                <w:rFonts w:ascii="Verdana" w:eastAsia="Times New Roman" w:hAnsi="Verdana" w:cs="Calibri"/>
                <w:color w:val="000000"/>
                <w:sz w:val="20"/>
                <w:szCs w:val="20"/>
                <w:lang w:eastAsia="es-CO"/>
              </w:rPr>
              <w:t>_</w:t>
            </w:r>
          </w:p>
          <w:p w14:paraId="56E96D1F" w14:textId="77777777" w:rsidR="00663431" w:rsidRPr="00866878"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capital</w:t>
            </w:r>
          </w:p>
        </w:tc>
        <w:tc>
          <w:tcPr>
            <w:tcW w:w="4215" w:type="dxa"/>
            <w:vAlign w:val="center"/>
          </w:tcPr>
          <w:p w14:paraId="2051CEBC"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w:t>
            </w:r>
            <w:r w:rsidR="00B761EF">
              <w:rPr>
                <w:rFonts w:ascii="Verdana" w:eastAsia="Times New Roman" w:hAnsi="Verdana" w:cs="Calibri"/>
                <w:color w:val="000000"/>
                <w:sz w:val="20"/>
                <w:szCs w:val="20"/>
                <w:lang w:eastAsia="es-CO"/>
              </w:rPr>
              <w:t>total</w:t>
            </w:r>
            <w:r w:rsidRPr="00075DE0">
              <w:rPr>
                <w:rFonts w:ascii="Verdana" w:eastAsia="Times New Roman" w:hAnsi="Verdana" w:cs="Calibri"/>
                <w:color w:val="000000"/>
                <w:sz w:val="20"/>
                <w:szCs w:val="20"/>
                <w:lang w:eastAsia="es-CO"/>
              </w:rPr>
              <w:t xml:space="preserve"> que recibió la entidad </w:t>
            </w:r>
            <w:r w:rsidR="00B761EF">
              <w:rPr>
                <w:rFonts w:ascii="Verdana" w:eastAsia="Times New Roman" w:hAnsi="Verdana" w:cs="Calibri"/>
                <w:color w:val="000000"/>
                <w:sz w:val="20"/>
                <w:szCs w:val="20"/>
                <w:lang w:eastAsia="es-CO"/>
              </w:rPr>
              <w:t xml:space="preserve">en el periodo </w:t>
            </w:r>
            <w:r w:rsidRPr="00075DE0">
              <w:rPr>
                <w:rFonts w:ascii="Verdana" w:eastAsia="Times New Roman" w:hAnsi="Verdana" w:cs="Calibri"/>
                <w:color w:val="000000"/>
                <w:sz w:val="20"/>
                <w:szCs w:val="20"/>
                <w:lang w:eastAsia="es-CO"/>
              </w:rPr>
              <w:t>como pago por parte del deudor de la</w:t>
            </w:r>
            <w:r>
              <w:rPr>
                <w:rFonts w:ascii="Verdana" w:eastAsia="Times New Roman" w:hAnsi="Verdana" w:cs="Calibri"/>
                <w:color w:val="000000"/>
                <w:sz w:val="20"/>
                <w:szCs w:val="20"/>
                <w:lang w:eastAsia="es-CO"/>
              </w:rPr>
              <w:t>s</w:t>
            </w:r>
            <w:r w:rsidRPr="00075DE0">
              <w:rPr>
                <w:rFonts w:ascii="Verdana" w:eastAsia="Times New Roman" w:hAnsi="Verdana" w:cs="Calibri"/>
                <w:color w:val="000000"/>
                <w:sz w:val="20"/>
                <w:szCs w:val="20"/>
                <w:lang w:eastAsia="es-CO"/>
              </w:rPr>
              <w:t xml:space="preserve"> cuota</w:t>
            </w:r>
            <w:r>
              <w:rPr>
                <w:rFonts w:ascii="Verdana" w:eastAsia="Times New Roman" w:hAnsi="Verdana" w:cs="Calibri"/>
                <w:color w:val="000000"/>
                <w:sz w:val="20"/>
                <w:szCs w:val="20"/>
                <w:lang w:eastAsia="es-CO"/>
              </w:rPr>
              <w:t>s</w:t>
            </w:r>
            <w:r w:rsidRPr="00075DE0">
              <w:rPr>
                <w:rFonts w:ascii="Verdana" w:eastAsia="Times New Roman" w:hAnsi="Verdana" w:cs="Calibri"/>
                <w:color w:val="000000"/>
                <w:sz w:val="20"/>
                <w:szCs w:val="20"/>
                <w:lang w:eastAsia="es-CO"/>
              </w:rPr>
              <w:t xml:space="preserve"> del crédito (considere únicamente capital).</w:t>
            </w:r>
            <w:r w:rsidR="00D76386">
              <w:rPr>
                <w:rFonts w:ascii="Verdana" w:eastAsia="Times New Roman" w:hAnsi="Verdana" w:cs="Calibri"/>
                <w:color w:val="000000"/>
                <w:sz w:val="20"/>
                <w:szCs w:val="20"/>
                <w:lang w:eastAsia="es-CO"/>
              </w:rPr>
              <w:t xml:space="preserve"> Se deben incluir los pagos recibidos durante el periodo por concepto de prepagos</w:t>
            </w:r>
            <w:r w:rsidR="00FD7189">
              <w:rPr>
                <w:rFonts w:ascii="Verdana" w:eastAsia="Times New Roman" w:hAnsi="Verdana" w:cs="Calibri"/>
                <w:color w:val="000000"/>
                <w:sz w:val="20"/>
                <w:szCs w:val="20"/>
                <w:lang w:eastAsia="es-CO"/>
              </w:rPr>
              <w:t xml:space="preserve"> totales o parciales, entre otros. </w:t>
            </w:r>
          </w:p>
          <w:p w14:paraId="36B938C0" w14:textId="77777777" w:rsidR="00F94151" w:rsidRDefault="00F94151" w:rsidP="00663431">
            <w:pPr>
              <w:jc w:val="both"/>
              <w:rPr>
                <w:rFonts w:ascii="Verdana" w:eastAsia="Times New Roman" w:hAnsi="Verdana" w:cs="Calibri"/>
                <w:color w:val="000000"/>
                <w:sz w:val="20"/>
                <w:szCs w:val="20"/>
                <w:lang w:eastAsia="es-CO"/>
              </w:rPr>
            </w:pPr>
          </w:p>
          <w:p w14:paraId="3BC2DD47" w14:textId="2FB8818B" w:rsidR="00F94151" w:rsidRDefault="00631222" w:rsidP="00F94151">
            <w:pPr>
              <w:jc w:val="both"/>
              <w:outlineLvl w:val="0"/>
              <w:rPr>
                <w:rFonts w:ascii="Verdana" w:hAnsi="Verdana"/>
                <w:color w:val="000000"/>
                <w:sz w:val="20"/>
                <w:szCs w:val="20"/>
              </w:rPr>
            </w:pPr>
            <w:r>
              <w:rPr>
                <w:rFonts w:ascii="Verdana" w:hAnsi="Verdana"/>
                <w:color w:val="000000"/>
                <w:sz w:val="20"/>
                <w:szCs w:val="20"/>
              </w:rPr>
              <w:t>También es o</w:t>
            </w:r>
            <w:r w:rsidR="00F94151">
              <w:rPr>
                <w:rFonts w:ascii="Verdana" w:hAnsi="Verdana"/>
                <w:color w:val="000000"/>
                <w:sz w:val="20"/>
                <w:szCs w:val="20"/>
              </w:rPr>
              <w:t xml:space="preserve">bligatorio para el reporte de que trata </w:t>
            </w:r>
            <w:r w:rsidR="00063584">
              <w:rPr>
                <w:rFonts w:ascii="Verdana" w:hAnsi="Verdana"/>
                <w:color w:val="000000"/>
                <w:sz w:val="20"/>
                <w:szCs w:val="20"/>
              </w:rPr>
              <w:t>el</w:t>
            </w:r>
            <w:r w:rsidR="00F94151">
              <w:rPr>
                <w:rFonts w:ascii="Verdana" w:hAnsi="Verdana"/>
                <w:color w:val="000000"/>
                <w:sz w:val="20"/>
                <w:szCs w:val="20"/>
              </w:rPr>
              <w:t xml:space="preserve"> numeral 16</w:t>
            </w:r>
            <w:r w:rsidR="004B51BB">
              <w:rPr>
                <w:rFonts w:ascii="Verdana" w:hAnsi="Verdana"/>
                <w:color w:val="000000"/>
                <w:sz w:val="20"/>
                <w:szCs w:val="20"/>
              </w:rPr>
              <w:t xml:space="preserve"> y 31</w:t>
            </w:r>
            <w:r w:rsidR="00F94151">
              <w:rPr>
                <w:rFonts w:ascii="Verdana" w:hAnsi="Verdana"/>
                <w:color w:val="000000"/>
                <w:sz w:val="20"/>
                <w:szCs w:val="20"/>
              </w:rPr>
              <w:t xml:space="preserve"> de las </w:t>
            </w:r>
            <w:r w:rsidR="00F94151" w:rsidRPr="00422DCE">
              <w:rPr>
                <w:rFonts w:ascii="Verdana" w:hAnsi="Verdana"/>
                <w:bCs/>
                <w:sz w:val="20"/>
                <w:szCs w:val="20"/>
              </w:rPr>
              <w:t>«</w:t>
            </w:r>
            <w:r w:rsidR="00F94151" w:rsidRPr="00075DE0">
              <w:rPr>
                <w:rFonts w:ascii="Verdana" w:hAnsi="Verdana"/>
                <w:bCs/>
                <w:sz w:val="20"/>
                <w:szCs w:val="20"/>
              </w:rPr>
              <w:t>Re</w:t>
            </w:r>
            <w:r w:rsidR="00F94151">
              <w:rPr>
                <w:rFonts w:ascii="Verdana" w:hAnsi="Verdana"/>
                <w:bCs/>
                <w:sz w:val="20"/>
                <w:szCs w:val="20"/>
              </w:rPr>
              <w:t>glas generales de diligenciamiento</w:t>
            </w:r>
            <w:r w:rsidR="00F94151" w:rsidRPr="00BD40EF">
              <w:rPr>
                <w:rFonts w:ascii="Verdana" w:hAnsi="Verdana"/>
                <w:bCs/>
                <w:sz w:val="20"/>
                <w:szCs w:val="20"/>
              </w:rPr>
              <w:t>»</w:t>
            </w:r>
            <w:r w:rsidR="00F94151">
              <w:rPr>
                <w:rFonts w:ascii="Verdana" w:hAnsi="Verdana"/>
                <w:bCs/>
                <w:sz w:val="20"/>
                <w:szCs w:val="20"/>
              </w:rPr>
              <w:t xml:space="preserve"> del presente documento.</w:t>
            </w:r>
          </w:p>
          <w:p w14:paraId="70FF585A" w14:textId="472E8430" w:rsidR="00F94151" w:rsidRPr="00075DE0" w:rsidRDefault="00F94151" w:rsidP="00663431">
            <w:pPr>
              <w:jc w:val="both"/>
              <w:rPr>
                <w:rFonts w:ascii="Verdana" w:eastAsia="Times New Roman" w:hAnsi="Verdana" w:cs="Calibri"/>
                <w:color w:val="000000"/>
                <w:sz w:val="20"/>
                <w:szCs w:val="20"/>
                <w:lang w:eastAsia="es-CO"/>
              </w:rPr>
            </w:pPr>
          </w:p>
        </w:tc>
      </w:tr>
      <w:tr w:rsidR="00663431" w:rsidRPr="00075DE0" w14:paraId="0D4A1C1B" w14:textId="77777777" w:rsidTr="00043CF1">
        <w:trPr>
          <w:trHeight w:val="1630"/>
        </w:trPr>
        <w:tc>
          <w:tcPr>
            <w:tcW w:w="1705" w:type="dxa"/>
            <w:vAlign w:val="center"/>
          </w:tcPr>
          <w:p w14:paraId="472327DF" w14:textId="7C430316" w:rsidR="00663431" w:rsidRPr="00075DE0" w:rsidRDefault="00736B46" w:rsidP="00663431">
            <w:pPr>
              <w:jc w:val="center"/>
              <w:rPr>
                <w:rFonts w:ascii="Verdana" w:eastAsia="Times New Roman" w:hAnsi="Verdana" w:cs="Calibri"/>
                <w:sz w:val="20"/>
                <w:szCs w:val="20"/>
                <w:lang w:eastAsia="es-CO"/>
              </w:rPr>
            </w:pPr>
            <w:r>
              <w:rPr>
                <w:rFonts w:ascii="Verdana" w:hAnsi="Verdana"/>
                <w:color w:val="000000"/>
                <w:sz w:val="20"/>
                <w:szCs w:val="20"/>
                <w:shd w:val="clear" w:color="auto" w:fill="FFFFFF"/>
              </w:rPr>
              <w:t>Pagos</w:t>
            </w:r>
            <w:r w:rsidR="00663431" w:rsidRPr="00075DE0">
              <w:rPr>
                <w:rFonts w:ascii="Verdana" w:hAnsi="Verdana"/>
                <w:color w:val="000000"/>
                <w:sz w:val="20"/>
                <w:szCs w:val="20"/>
                <w:shd w:val="clear" w:color="auto" w:fill="FFFFFF"/>
              </w:rPr>
              <w:t xml:space="preserve"> recibid</w:t>
            </w:r>
            <w:r>
              <w:rPr>
                <w:rFonts w:ascii="Verdana" w:hAnsi="Verdana"/>
                <w:color w:val="000000"/>
                <w:sz w:val="20"/>
                <w:szCs w:val="20"/>
                <w:shd w:val="clear" w:color="auto" w:fill="FFFFFF"/>
              </w:rPr>
              <w:t>os</w:t>
            </w:r>
            <w:r w:rsidR="00663431" w:rsidRPr="00075DE0">
              <w:rPr>
                <w:rFonts w:ascii="Verdana" w:hAnsi="Verdana"/>
                <w:color w:val="000000"/>
                <w:sz w:val="20"/>
                <w:szCs w:val="20"/>
                <w:shd w:val="clear" w:color="auto" w:fill="FFFFFF"/>
              </w:rPr>
              <w:t xml:space="preserve"> - Intereses</w:t>
            </w:r>
          </w:p>
        </w:tc>
        <w:tc>
          <w:tcPr>
            <w:tcW w:w="3147" w:type="dxa"/>
            <w:vAlign w:val="center"/>
          </w:tcPr>
          <w:p w14:paraId="2ABD62BD" w14:textId="7D44C8CC" w:rsidR="00663431" w:rsidRPr="00075DE0" w:rsidRDefault="00736B46" w:rsidP="00663431">
            <w:pPr>
              <w:jc w:val="center"/>
              <w:rPr>
                <w:rFonts w:ascii="Verdana" w:eastAsia="Times New Roman" w:hAnsi="Verdana" w:cs="Calibri"/>
                <w:color w:val="000000"/>
                <w:sz w:val="20"/>
                <w:szCs w:val="20"/>
                <w:lang w:eastAsia="es-CO"/>
              </w:rPr>
            </w:pPr>
            <w:r>
              <w:rPr>
                <w:rFonts w:ascii="Verdana" w:eastAsia="Times New Roman" w:hAnsi="Verdana" w:cs="Calibri"/>
                <w:color w:val="000000"/>
                <w:sz w:val="20"/>
                <w:szCs w:val="20"/>
                <w:lang w:eastAsia="es-CO"/>
              </w:rPr>
              <w:t>pago</w:t>
            </w:r>
            <w:r w:rsidR="00663431" w:rsidRPr="00075DE0">
              <w:rPr>
                <w:rFonts w:ascii="Verdana" w:eastAsia="Times New Roman" w:hAnsi="Verdana" w:cs="Calibri"/>
                <w:color w:val="000000"/>
                <w:sz w:val="20"/>
                <w:szCs w:val="20"/>
                <w:lang w:eastAsia="es-CO"/>
              </w:rPr>
              <w:t>_recibid</w:t>
            </w:r>
            <w:r>
              <w:rPr>
                <w:rFonts w:ascii="Verdana" w:eastAsia="Times New Roman" w:hAnsi="Verdana" w:cs="Calibri"/>
                <w:color w:val="000000"/>
                <w:sz w:val="20"/>
                <w:szCs w:val="20"/>
                <w:lang w:eastAsia="es-CO"/>
              </w:rPr>
              <w:t>o</w:t>
            </w:r>
            <w:r w:rsidR="00663431" w:rsidRPr="00075DE0">
              <w:rPr>
                <w:rFonts w:ascii="Verdana" w:eastAsia="Times New Roman" w:hAnsi="Verdana" w:cs="Calibri"/>
                <w:color w:val="000000"/>
                <w:sz w:val="20"/>
                <w:szCs w:val="20"/>
                <w:lang w:eastAsia="es-CO"/>
              </w:rPr>
              <w:t>_</w:t>
            </w:r>
          </w:p>
          <w:p w14:paraId="3E81C680"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intereses</w:t>
            </w:r>
          </w:p>
        </w:tc>
        <w:tc>
          <w:tcPr>
            <w:tcW w:w="4215" w:type="dxa"/>
            <w:vAlign w:val="center"/>
          </w:tcPr>
          <w:p w14:paraId="333C7F69" w14:textId="77777777"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w:t>
            </w:r>
            <w:r w:rsidR="00B761EF">
              <w:rPr>
                <w:rFonts w:ascii="Verdana" w:eastAsia="Times New Roman" w:hAnsi="Verdana" w:cs="Calibri"/>
                <w:color w:val="000000"/>
                <w:sz w:val="20"/>
                <w:szCs w:val="20"/>
                <w:lang w:eastAsia="es-CO"/>
              </w:rPr>
              <w:t>total</w:t>
            </w:r>
            <w:r w:rsidRPr="00075DE0">
              <w:rPr>
                <w:rFonts w:ascii="Verdana" w:eastAsia="Times New Roman" w:hAnsi="Verdana" w:cs="Calibri"/>
                <w:color w:val="000000"/>
                <w:sz w:val="20"/>
                <w:szCs w:val="20"/>
                <w:lang w:eastAsia="es-CO"/>
              </w:rPr>
              <w:t xml:space="preserve"> que recibió la entidad </w:t>
            </w:r>
            <w:r w:rsidR="00B761EF">
              <w:rPr>
                <w:rFonts w:ascii="Verdana" w:eastAsia="Times New Roman" w:hAnsi="Verdana" w:cs="Calibri"/>
                <w:color w:val="000000"/>
                <w:sz w:val="20"/>
                <w:szCs w:val="20"/>
                <w:lang w:eastAsia="es-CO"/>
              </w:rPr>
              <w:t xml:space="preserve">en el periodo </w:t>
            </w:r>
            <w:r w:rsidRPr="00075DE0">
              <w:rPr>
                <w:rFonts w:ascii="Verdana" w:eastAsia="Times New Roman" w:hAnsi="Verdana" w:cs="Calibri"/>
                <w:color w:val="000000"/>
                <w:sz w:val="20"/>
                <w:szCs w:val="20"/>
                <w:lang w:eastAsia="es-CO"/>
              </w:rPr>
              <w:t>como pago por parte del deudor de la</w:t>
            </w:r>
            <w:r>
              <w:rPr>
                <w:rFonts w:ascii="Verdana" w:eastAsia="Times New Roman" w:hAnsi="Verdana" w:cs="Calibri"/>
                <w:color w:val="000000"/>
                <w:sz w:val="20"/>
                <w:szCs w:val="20"/>
                <w:lang w:eastAsia="es-CO"/>
              </w:rPr>
              <w:t>s</w:t>
            </w:r>
            <w:r w:rsidRPr="00075DE0">
              <w:rPr>
                <w:rFonts w:ascii="Verdana" w:eastAsia="Times New Roman" w:hAnsi="Verdana" w:cs="Calibri"/>
                <w:color w:val="000000"/>
                <w:sz w:val="20"/>
                <w:szCs w:val="20"/>
                <w:lang w:eastAsia="es-CO"/>
              </w:rPr>
              <w:t xml:space="preserve"> cuotas del crédito (considere únicamente </w:t>
            </w:r>
            <w:r w:rsidR="00381253">
              <w:rPr>
                <w:rFonts w:ascii="Verdana" w:eastAsia="Times New Roman" w:hAnsi="Verdana" w:cs="Calibri"/>
                <w:color w:val="000000"/>
                <w:sz w:val="20"/>
                <w:szCs w:val="20"/>
                <w:lang w:eastAsia="es-CO"/>
              </w:rPr>
              <w:t>intereses</w:t>
            </w:r>
            <w:r w:rsidRPr="00075DE0">
              <w:rPr>
                <w:rFonts w:ascii="Verdana" w:eastAsia="Times New Roman" w:hAnsi="Verdana" w:cs="Calibri"/>
                <w:color w:val="000000"/>
                <w:sz w:val="20"/>
                <w:szCs w:val="20"/>
                <w:lang w:eastAsia="es-CO"/>
              </w:rPr>
              <w:t>).</w:t>
            </w:r>
          </w:p>
          <w:p w14:paraId="2C3B7CAD" w14:textId="77777777" w:rsidR="000A6E7B" w:rsidRDefault="000A6E7B" w:rsidP="00663431">
            <w:pPr>
              <w:jc w:val="both"/>
              <w:rPr>
                <w:rFonts w:ascii="Verdana" w:eastAsia="Times New Roman" w:hAnsi="Verdana" w:cs="Calibri"/>
                <w:color w:val="000000"/>
                <w:sz w:val="20"/>
                <w:szCs w:val="20"/>
                <w:lang w:eastAsia="es-CO"/>
              </w:rPr>
            </w:pPr>
          </w:p>
          <w:p w14:paraId="1F6F72DE" w14:textId="77777777" w:rsidR="000A6E7B" w:rsidRDefault="00631222" w:rsidP="00663431">
            <w:pPr>
              <w:jc w:val="both"/>
              <w:rPr>
                <w:rFonts w:ascii="Verdana" w:hAnsi="Verdana"/>
                <w:bCs/>
                <w:sz w:val="20"/>
                <w:szCs w:val="20"/>
              </w:rPr>
            </w:pPr>
            <w:r>
              <w:rPr>
                <w:rFonts w:ascii="Verdana" w:hAnsi="Verdana"/>
                <w:color w:val="000000"/>
                <w:sz w:val="20"/>
                <w:szCs w:val="20"/>
              </w:rPr>
              <w:t>También es o</w:t>
            </w:r>
            <w:r w:rsidR="000A6E7B">
              <w:rPr>
                <w:rFonts w:ascii="Verdana" w:hAnsi="Verdana"/>
                <w:color w:val="000000"/>
                <w:sz w:val="20"/>
                <w:szCs w:val="20"/>
              </w:rPr>
              <w:t>bligatorio para el reporte de que trata el numeral 16</w:t>
            </w:r>
            <w:r w:rsidR="004B51BB">
              <w:rPr>
                <w:rFonts w:ascii="Verdana" w:hAnsi="Verdana"/>
                <w:color w:val="000000"/>
                <w:sz w:val="20"/>
                <w:szCs w:val="20"/>
              </w:rPr>
              <w:t xml:space="preserve"> y 31</w:t>
            </w:r>
            <w:r w:rsidR="000A6E7B">
              <w:rPr>
                <w:rFonts w:ascii="Verdana" w:hAnsi="Verdana"/>
                <w:color w:val="000000"/>
                <w:sz w:val="20"/>
                <w:szCs w:val="20"/>
              </w:rPr>
              <w:t xml:space="preserve"> de las </w:t>
            </w:r>
            <w:r w:rsidR="000A6E7B" w:rsidRPr="00422DCE">
              <w:rPr>
                <w:rFonts w:ascii="Verdana" w:hAnsi="Verdana"/>
                <w:bCs/>
                <w:sz w:val="20"/>
                <w:szCs w:val="20"/>
              </w:rPr>
              <w:t>«</w:t>
            </w:r>
            <w:r w:rsidR="000A6E7B" w:rsidRPr="00075DE0">
              <w:rPr>
                <w:rFonts w:ascii="Verdana" w:hAnsi="Verdana"/>
                <w:bCs/>
                <w:sz w:val="20"/>
                <w:szCs w:val="20"/>
              </w:rPr>
              <w:t>Re</w:t>
            </w:r>
            <w:r w:rsidR="000A6E7B">
              <w:rPr>
                <w:rFonts w:ascii="Verdana" w:hAnsi="Verdana"/>
                <w:bCs/>
                <w:sz w:val="20"/>
                <w:szCs w:val="20"/>
              </w:rPr>
              <w:t>glas generales de diligenciamiento</w:t>
            </w:r>
            <w:r w:rsidR="000A6E7B" w:rsidRPr="00BD40EF">
              <w:rPr>
                <w:rFonts w:ascii="Verdana" w:hAnsi="Verdana"/>
                <w:bCs/>
                <w:sz w:val="20"/>
                <w:szCs w:val="20"/>
              </w:rPr>
              <w:t>»</w:t>
            </w:r>
            <w:r w:rsidR="000A6E7B">
              <w:rPr>
                <w:rFonts w:ascii="Verdana" w:hAnsi="Verdana"/>
                <w:bCs/>
                <w:sz w:val="20"/>
                <w:szCs w:val="20"/>
              </w:rPr>
              <w:t xml:space="preserve"> del presente documento.</w:t>
            </w:r>
          </w:p>
          <w:p w14:paraId="52C5E75F" w14:textId="1A9E3212" w:rsidR="0065472B" w:rsidRPr="00075DE0" w:rsidRDefault="0065472B" w:rsidP="00663431">
            <w:pPr>
              <w:jc w:val="both"/>
              <w:rPr>
                <w:rFonts w:ascii="Verdana" w:eastAsia="Times New Roman" w:hAnsi="Verdana" w:cs="Calibri"/>
                <w:color w:val="000000"/>
                <w:sz w:val="20"/>
                <w:szCs w:val="20"/>
                <w:lang w:eastAsia="es-CO"/>
              </w:rPr>
            </w:pPr>
          </w:p>
        </w:tc>
      </w:tr>
      <w:tr w:rsidR="00663431" w:rsidRPr="00075DE0" w14:paraId="1C344E94" w14:textId="77777777" w:rsidTr="00043CF1">
        <w:trPr>
          <w:trHeight w:val="1630"/>
        </w:trPr>
        <w:tc>
          <w:tcPr>
            <w:tcW w:w="1705" w:type="dxa"/>
            <w:vAlign w:val="center"/>
          </w:tcPr>
          <w:p w14:paraId="6F24DD32" w14:textId="0B6A09B5"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Valor de la </w:t>
            </w:r>
            <w:r w:rsidR="002A3B64">
              <w:rPr>
                <w:rFonts w:ascii="Verdana" w:hAnsi="Verdana"/>
                <w:color w:val="000000"/>
                <w:sz w:val="20"/>
                <w:szCs w:val="20"/>
                <w:shd w:val="clear" w:color="auto" w:fill="FFFFFF"/>
              </w:rPr>
              <w:t>g</w:t>
            </w:r>
            <w:r w:rsidRPr="00075DE0">
              <w:rPr>
                <w:rFonts w:ascii="Verdana" w:hAnsi="Verdana"/>
                <w:color w:val="000000"/>
                <w:sz w:val="20"/>
                <w:szCs w:val="20"/>
                <w:shd w:val="clear" w:color="auto" w:fill="FFFFFF"/>
              </w:rPr>
              <w:t>arantía</w:t>
            </w:r>
          </w:p>
        </w:tc>
        <w:tc>
          <w:tcPr>
            <w:tcW w:w="3147" w:type="dxa"/>
            <w:vAlign w:val="center"/>
          </w:tcPr>
          <w:p w14:paraId="7446B980"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valor_garantia</w:t>
            </w:r>
          </w:p>
        </w:tc>
        <w:tc>
          <w:tcPr>
            <w:tcW w:w="4215" w:type="dxa"/>
            <w:vAlign w:val="center"/>
          </w:tcPr>
          <w:p w14:paraId="27825B3A" w14:textId="094510ED" w:rsidR="00663431" w:rsidRDefault="00663431" w:rsidP="00663431">
            <w:pPr>
              <w:jc w:val="both"/>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 xml:space="preserve">Registre el valor del avalúo establecido con base en criterios técnicos y objetivos de las garantías constituidas, de acuerdo con los parámetros establecidos </w:t>
            </w:r>
            <w:r>
              <w:rPr>
                <w:rFonts w:ascii="Verdana" w:eastAsia="Times New Roman" w:hAnsi="Verdana" w:cs="Calibri"/>
                <w:color w:val="000000"/>
                <w:sz w:val="20"/>
                <w:szCs w:val="20"/>
                <w:lang w:eastAsia="es-CO"/>
              </w:rPr>
              <w:t xml:space="preserve">en el </w:t>
            </w:r>
            <w:r w:rsidR="00314088">
              <w:rPr>
                <w:rFonts w:ascii="Verdana" w:hAnsi="Verdana"/>
                <w:color w:val="000000"/>
                <w:sz w:val="20"/>
                <w:szCs w:val="20"/>
              </w:rPr>
              <w:t>c</w:t>
            </w:r>
            <w:r w:rsidRPr="00075DE0">
              <w:rPr>
                <w:rFonts w:ascii="Verdana" w:hAnsi="Verdana"/>
                <w:sz w:val="20"/>
                <w:szCs w:val="20"/>
              </w:rPr>
              <w:t>apítulo XXXI</w:t>
            </w:r>
            <w:r w:rsidR="008D6CF2">
              <w:rPr>
                <w:rFonts w:ascii="Verdana" w:hAnsi="Verdana"/>
                <w:sz w:val="20"/>
                <w:szCs w:val="20"/>
              </w:rPr>
              <w:t xml:space="preserve"> </w:t>
            </w:r>
            <w:r w:rsidRPr="00075DE0">
              <w:rPr>
                <w:rFonts w:ascii="Verdana" w:hAnsi="Verdana"/>
                <w:sz w:val="20"/>
                <w:szCs w:val="20"/>
              </w:rPr>
              <w:t xml:space="preserve">SIAR de la </w:t>
            </w:r>
            <w:r w:rsidR="00E52F12">
              <w:rPr>
                <w:rFonts w:ascii="Verdana" w:hAnsi="Verdana"/>
                <w:sz w:val="20"/>
                <w:szCs w:val="20"/>
              </w:rPr>
              <w:t>CBCF</w:t>
            </w:r>
            <w:r w:rsidRPr="00075DE0">
              <w:rPr>
                <w:rFonts w:ascii="Verdana" w:eastAsia="Times New Roman" w:hAnsi="Verdana" w:cs="Calibri"/>
                <w:color w:val="000000"/>
                <w:sz w:val="20"/>
                <w:szCs w:val="20"/>
                <w:lang w:eastAsia="es-CO"/>
              </w:rPr>
              <w:t>. Tratándose de contratos de leasing financiero, se debe informar el valor de mercado de los bienes dados en leasing. En caso de una operación que por su naturaleza no tiene una garantía</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registre el campo </w:t>
            </w:r>
            <w:r>
              <w:rPr>
                <w:rFonts w:ascii="Verdana" w:eastAsia="Times New Roman" w:hAnsi="Verdana" w:cs="Calibri"/>
                <w:color w:val="000000"/>
                <w:sz w:val="20"/>
                <w:szCs w:val="20"/>
                <w:lang w:eastAsia="es-CO"/>
              </w:rPr>
              <w:t>en 0.</w:t>
            </w:r>
          </w:p>
          <w:p w14:paraId="082E8B50" w14:textId="77777777" w:rsidR="0030331E" w:rsidRDefault="0030331E" w:rsidP="00663431">
            <w:pPr>
              <w:jc w:val="both"/>
              <w:rPr>
                <w:rFonts w:ascii="Verdana" w:eastAsia="Times New Roman" w:hAnsi="Verdana" w:cs="Calibri"/>
                <w:color w:val="000000"/>
                <w:sz w:val="20"/>
                <w:szCs w:val="20"/>
                <w:lang w:eastAsia="es-CO"/>
              </w:rPr>
            </w:pPr>
          </w:p>
          <w:p w14:paraId="2D4E6A7E" w14:textId="52EFFCD9" w:rsidR="00D61C00" w:rsidRDefault="00631222" w:rsidP="00D61C00">
            <w:pPr>
              <w:jc w:val="both"/>
              <w:outlineLvl w:val="0"/>
              <w:rPr>
                <w:rFonts w:ascii="Verdana" w:hAnsi="Verdana"/>
                <w:color w:val="000000"/>
                <w:sz w:val="20"/>
                <w:szCs w:val="20"/>
              </w:rPr>
            </w:pPr>
            <w:r>
              <w:rPr>
                <w:rFonts w:ascii="Verdana" w:hAnsi="Verdana"/>
                <w:color w:val="000000"/>
                <w:sz w:val="20"/>
                <w:szCs w:val="20"/>
              </w:rPr>
              <w:t>También es o</w:t>
            </w:r>
            <w:r w:rsidR="00D61C00">
              <w:rPr>
                <w:rFonts w:ascii="Verdana" w:hAnsi="Verdana"/>
                <w:color w:val="000000"/>
                <w:sz w:val="20"/>
                <w:szCs w:val="20"/>
              </w:rPr>
              <w:t xml:space="preserve">bligatorio para el reporte de que tratan los numerales </w:t>
            </w:r>
            <w:r w:rsidR="00612048">
              <w:rPr>
                <w:rFonts w:ascii="Verdana" w:hAnsi="Verdana"/>
                <w:color w:val="000000"/>
                <w:sz w:val="20"/>
                <w:szCs w:val="20"/>
              </w:rPr>
              <w:t xml:space="preserve">14 (ii), </w:t>
            </w:r>
            <w:r w:rsidR="00D61C00">
              <w:rPr>
                <w:rFonts w:ascii="Verdana" w:hAnsi="Verdana"/>
                <w:color w:val="000000"/>
                <w:sz w:val="20"/>
                <w:szCs w:val="20"/>
              </w:rPr>
              <w:t xml:space="preserve">15, 16, 17 y 18 de las </w:t>
            </w:r>
            <w:r w:rsidR="00D61C00" w:rsidRPr="00422DCE">
              <w:rPr>
                <w:rFonts w:ascii="Verdana" w:hAnsi="Verdana"/>
                <w:bCs/>
                <w:sz w:val="20"/>
                <w:szCs w:val="20"/>
              </w:rPr>
              <w:t>«</w:t>
            </w:r>
            <w:r w:rsidR="00D61C00" w:rsidRPr="00075DE0">
              <w:rPr>
                <w:rFonts w:ascii="Verdana" w:hAnsi="Verdana"/>
                <w:bCs/>
                <w:sz w:val="20"/>
                <w:szCs w:val="20"/>
              </w:rPr>
              <w:t>Re</w:t>
            </w:r>
            <w:r w:rsidR="00D61C00">
              <w:rPr>
                <w:rFonts w:ascii="Verdana" w:hAnsi="Verdana"/>
                <w:bCs/>
                <w:sz w:val="20"/>
                <w:szCs w:val="20"/>
              </w:rPr>
              <w:t>glas generales de diligenciamiento</w:t>
            </w:r>
            <w:r w:rsidR="00D61C00" w:rsidRPr="00BD40EF">
              <w:rPr>
                <w:rFonts w:ascii="Verdana" w:hAnsi="Verdana"/>
                <w:bCs/>
                <w:sz w:val="20"/>
                <w:szCs w:val="20"/>
              </w:rPr>
              <w:t>»</w:t>
            </w:r>
            <w:r w:rsidR="00D61C00">
              <w:rPr>
                <w:rFonts w:ascii="Verdana" w:hAnsi="Verdana"/>
                <w:bCs/>
                <w:sz w:val="20"/>
                <w:szCs w:val="20"/>
              </w:rPr>
              <w:t xml:space="preserve"> del presente documento.</w:t>
            </w:r>
          </w:p>
          <w:p w14:paraId="46DCB5B9" w14:textId="64AF1E57" w:rsidR="0030331E" w:rsidRPr="00075DE0" w:rsidRDefault="0030331E" w:rsidP="00663431">
            <w:pPr>
              <w:jc w:val="both"/>
              <w:rPr>
                <w:rFonts w:ascii="Verdana" w:eastAsia="Times New Roman" w:hAnsi="Verdana" w:cs="Calibri"/>
                <w:color w:val="000000"/>
                <w:sz w:val="20"/>
                <w:szCs w:val="20"/>
                <w:lang w:eastAsia="es-CO"/>
              </w:rPr>
            </w:pPr>
          </w:p>
        </w:tc>
      </w:tr>
      <w:tr w:rsidR="00663431" w:rsidRPr="00075DE0" w14:paraId="7880568E" w14:textId="77777777" w:rsidTr="00043CF1">
        <w:trPr>
          <w:trHeight w:val="1630"/>
        </w:trPr>
        <w:tc>
          <w:tcPr>
            <w:tcW w:w="1705" w:type="dxa"/>
            <w:vAlign w:val="center"/>
          </w:tcPr>
          <w:p w14:paraId="1DB74B79" w14:textId="5985CCEE"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t xml:space="preserve">Fecha de </w:t>
            </w:r>
            <w:r w:rsidR="002A3B64">
              <w:rPr>
                <w:rFonts w:ascii="Verdana" w:hAnsi="Verdana"/>
                <w:color w:val="000000"/>
                <w:sz w:val="20"/>
                <w:szCs w:val="20"/>
                <w:shd w:val="clear" w:color="auto" w:fill="FFFFFF"/>
              </w:rPr>
              <w:t>g</w:t>
            </w:r>
            <w:r w:rsidRPr="00075DE0">
              <w:rPr>
                <w:rFonts w:ascii="Verdana" w:hAnsi="Verdana"/>
                <w:color w:val="000000"/>
                <w:sz w:val="20"/>
                <w:szCs w:val="20"/>
                <w:shd w:val="clear" w:color="auto" w:fill="FFFFFF"/>
              </w:rPr>
              <w:t>arantía</w:t>
            </w:r>
          </w:p>
        </w:tc>
        <w:tc>
          <w:tcPr>
            <w:tcW w:w="3147" w:type="dxa"/>
            <w:vAlign w:val="center"/>
          </w:tcPr>
          <w:p w14:paraId="1BD73448"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fecha_garantia</w:t>
            </w:r>
          </w:p>
        </w:tc>
        <w:tc>
          <w:tcPr>
            <w:tcW w:w="4215" w:type="dxa"/>
            <w:vAlign w:val="center"/>
          </w:tcPr>
          <w:p w14:paraId="7CBEE9F1" w14:textId="4E0C2A02" w:rsidR="00663431" w:rsidRDefault="00663431" w:rsidP="00663431">
            <w:pPr>
              <w:jc w:val="both"/>
              <w:rPr>
                <w:rFonts w:ascii="Verdana" w:hAnsi="Verdana"/>
                <w:bCs/>
                <w:sz w:val="20"/>
                <w:szCs w:val="20"/>
              </w:rPr>
            </w:pPr>
            <w:r w:rsidRPr="00075DE0">
              <w:rPr>
                <w:rFonts w:ascii="Verdana" w:eastAsia="Times New Roman" w:hAnsi="Verdana" w:cs="Calibri"/>
                <w:color w:val="000000"/>
                <w:sz w:val="20"/>
                <w:szCs w:val="20"/>
                <w:lang w:eastAsia="es-CO"/>
              </w:rPr>
              <w:t>Registre la fecha del último avalúo que se le efectuó a la garantía correspondiente</w:t>
            </w:r>
            <w:r w:rsidR="005D2F12">
              <w:rPr>
                <w:rFonts w:ascii="Verdana" w:eastAsia="Times New Roman" w:hAnsi="Verdana" w:cs="Calibri"/>
                <w:color w:val="000000"/>
                <w:sz w:val="20"/>
                <w:szCs w:val="20"/>
                <w:lang w:eastAsia="es-CO"/>
              </w:rPr>
              <w:t>, bajo el formato YYYY-MM</w:t>
            </w:r>
            <w:r w:rsidR="0090397A">
              <w:rPr>
                <w:rFonts w:ascii="Verdana" w:eastAsia="Times New Roman" w:hAnsi="Verdana" w:cs="Calibri"/>
                <w:color w:val="000000"/>
                <w:sz w:val="20"/>
                <w:szCs w:val="20"/>
                <w:lang w:eastAsia="es-CO"/>
              </w:rPr>
              <w:t>-DD</w:t>
            </w:r>
            <w:r w:rsidRPr="00075DE0">
              <w:rPr>
                <w:rFonts w:ascii="Verdana" w:eastAsia="Times New Roman" w:hAnsi="Verdana" w:cs="Calibri"/>
                <w:color w:val="000000"/>
                <w:sz w:val="20"/>
                <w:szCs w:val="20"/>
                <w:lang w:eastAsia="es-CO"/>
              </w:rPr>
              <w:t>. Registre únicamente la garantía de mayor valor.</w:t>
            </w:r>
            <w:r w:rsidR="008D441D">
              <w:rPr>
                <w:rFonts w:ascii="Verdana" w:eastAsia="Times New Roman" w:hAnsi="Verdana" w:cs="Calibri"/>
                <w:color w:val="000000"/>
                <w:sz w:val="20"/>
                <w:szCs w:val="20"/>
                <w:lang w:eastAsia="es-CO"/>
              </w:rPr>
              <w:t xml:space="preserve"> </w:t>
            </w:r>
            <w:r w:rsidR="00A66BD6" w:rsidRPr="003C1C55">
              <w:rPr>
                <w:rFonts w:ascii="Verdana" w:eastAsia="Times New Roman" w:hAnsi="Verdana" w:cs="Calibri"/>
                <w:color w:val="000000"/>
                <w:sz w:val="20"/>
                <w:szCs w:val="20"/>
                <w:lang w:eastAsia="es-CO"/>
              </w:rPr>
              <w:t>Cuando por la naturaleza de la</w:t>
            </w:r>
            <w:r w:rsidR="008D441D" w:rsidRPr="003C1C55">
              <w:rPr>
                <w:rFonts w:ascii="Verdana" w:eastAsia="Times New Roman" w:hAnsi="Verdana" w:cs="Calibri"/>
                <w:color w:val="000000"/>
                <w:sz w:val="20"/>
                <w:szCs w:val="20"/>
                <w:lang w:eastAsia="es-CO"/>
              </w:rPr>
              <w:t xml:space="preserve"> garantía no </w:t>
            </w:r>
            <w:r w:rsidR="006E6AEA" w:rsidRPr="003C1C55">
              <w:rPr>
                <w:rFonts w:ascii="Verdana" w:eastAsia="Times New Roman" w:hAnsi="Verdana" w:cs="Calibri"/>
                <w:color w:val="000000"/>
                <w:sz w:val="20"/>
                <w:szCs w:val="20"/>
                <w:lang w:eastAsia="es-CO"/>
              </w:rPr>
              <w:t>requiera de</w:t>
            </w:r>
            <w:r w:rsidR="008D441D" w:rsidRPr="003C1C55">
              <w:rPr>
                <w:rFonts w:ascii="Verdana" w:eastAsia="Times New Roman" w:hAnsi="Verdana" w:cs="Calibri"/>
                <w:color w:val="000000"/>
                <w:sz w:val="20"/>
                <w:szCs w:val="20"/>
                <w:lang w:eastAsia="es-CO"/>
              </w:rPr>
              <w:t xml:space="preserve"> avalúos periódicos, </w:t>
            </w:r>
            <w:r w:rsidR="006E6AEA" w:rsidRPr="003C1C55">
              <w:rPr>
                <w:rFonts w:ascii="Verdana" w:eastAsia="Times New Roman" w:hAnsi="Verdana" w:cs="Calibri"/>
                <w:color w:val="000000"/>
                <w:sz w:val="20"/>
                <w:szCs w:val="20"/>
                <w:lang w:eastAsia="es-CO"/>
              </w:rPr>
              <w:t>registre</w:t>
            </w:r>
            <w:r w:rsidR="008D441D" w:rsidRPr="003C1C55">
              <w:rPr>
                <w:rFonts w:ascii="Verdana" w:eastAsia="Times New Roman" w:hAnsi="Verdana" w:cs="Calibri"/>
                <w:color w:val="000000"/>
                <w:sz w:val="20"/>
                <w:szCs w:val="20"/>
                <w:lang w:eastAsia="es-CO"/>
              </w:rPr>
              <w:t xml:space="preserve"> la fecha de expedición de la garantía.</w:t>
            </w:r>
            <w:r w:rsidRPr="00075DE0">
              <w:rPr>
                <w:rFonts w:ascii="Verdana" w:eastAsia="Times New Roman" w:hAnsi="Verdana" w:cs="Calibri"/>
                <w:color w:val="000000"/>
                <w:sz w:val="20"/>
                <w:szCs w:val="20"/>
                <w:lang w:eastAsia="es-CO"/>
              </w:rPr>
              <w:t xml:space="preserve"> En caso de una operación que por su naturaleza no </w:t>
            </w:r>
            <w:r w:rsidRPr="00075DE0">
              <w:rPr>
                <w:rFonts w:ascii="Verdana" w:eastAsia="Times New Roman" w:hAnsi="Verdana" w:cs="Calibri"/>
                <w:color w:val="000000"/>
                <w:sz w:val="20"/>
                <w:szCs w:val="20"/>
                <w:lang w:eastAsia="es-CO"/>
              </w:rPr>
              <w:lastRenderedPageBreak/>
              <w:t>tiene una garantía y/o valor de garantía específica</w:t>
            </w:r>
            <w:r w:rsidR="004B16D4">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registre el campo como </w:t>
            </w:r>
            <w:r w:rsidRPr="00660A2B">
              <w:rPr>
                <w:rFonts w:ascii="Verdana" w:hAnsi="Verdana"/>
                <w:bCs/>
                <w:sz w:val="20"/>
                <w:szCs w:val="20"/>
              </w:rPr>
              <w:t>«</w:t>
            </w:r>
            <w:r w:rsidRPr="00075DE0">
              <w:rPr>
                <w:rFonts w:ascii="Verdana" w:eastAsia="Times New Roman" w:hAnsi="Verdana" w:cs="Calibri"/>
                <w:color w:val="000000"/>
                <w:sz w:val="20"/>
                <w:szCs w:val="20"/>
                <w:lang w:eastAsia="es-CO"/>
              </w:rPr>
              <w:t>Nulo</w:t>
            </w:r>
            <w:r w:rsidRPr="00660A2B">
              <w:rPr>
                <w:rFonts w:ascii="Verdana" w:hAnsi="Verdana"/>
                <w:bCs/>
                <w:sz w:val="20"/>
                <w:szCs w:val="20"/>
              </w:rPr>
              <w:t>»</w:t>
            </w:r>
            <w:r>
              <w:rPr>
                <w:rFonts w:ascii="Verdana" w:hAnsi="Verdana"/>
                <w:bCs/>
                <w:sz w:val="20"/>
                <w:szCs w:val="20"/>
              </w:rPr>
              <w:t>.</w:t>
            </w:r>
          </w:p>
          <w:p w14:paraId="1FA0BF2B" w14:textId="77777777" w:rsidR="0030331E" w:rsidRDefault="0030331E" w:rsidP="00663431">
            <w:pPr>
              <w:jc w:val="both"/>
              <w:rPr>
                <w:rFonts w:ascii="Verdana" w:hAnsi="Verdana"/>
                <w:bCs/>
                <w:sz w:val="20"/>
                <w:szCs w:val="20"/>
              </w:rPr>
            </w:pPr>
          </w:p>
          <w:p w14:paraId="298854DC" w14:textId="5CCD4A42" w:rsidR="00D61C00" w:rsidRDefault="00631222" w:rsidP="00D61C00">
            <w:pPr>
              <w:jc w:val="both"/>
              <w:outlineLvl w:val="0"/>
              <w:rPr>
                <w:rFonts w:ascii="Verdana" w:hAnsi="Verdana"/>
                <w:color w:val="000000"/>
                <w:sz w:val="20"/>
                <w:szCs w:val="20"/>
              </w:rPr>
            </w:pPr>
            <w:r>
              <w:rPr>
                <w:rFonts w:ascii="Verdana" w:hAnsi="Verdana"/>
                <w:color w:val="000000"/>
                <w:sz w:val="20"/>
                <w:szCs w:val="20"/>
              </w:rPr>
              <w:t>También es o</w:t>
            </w:r>
            <w:r w:rsidR="00D61C00">
              <w:rPr>
                <w:rFonts w:ascii="Verdana" w:hAnsi="Verdana"/>
                <w:color w:val="000000"/>
                <w:sz w:val="20"/>
                <w:szCs w:val="20"/>
              </w:rPr>
              <w:t>bligatorio para el reporte de que tratan los numerales</w:t>
            </w:r>
            <w:r w:rsidR="00612048">
              <w:rPr>
                <w:rFonts w:ascii="Verdana" w:hAnsi="Verdana"/>
                <w:color w:val="000000"/>
                <w:sz w:val="20"/>
                <w:szCs w:val="20"/>
              </w:rPr>
              <w:t xml:space="preserve"> 14 (ii),</w:t>
            </w:r>
            <w:r w:rsidR="00D61C00">
              <w:rPr>
                <w:rFonts w:ascii="Verdana" w:hAnsi="Verdana"/>
                <w:color w:val="000000"/>
                <w:sz w:val="20"/>
                <w:szCs w:val="20"/>
              </w:rPr>
              <w:t xml:space="preserve"> 15, 16, 17 y 18 de las </w:t>
            </w:r>
            <w:r w:rsidR="00D61C00" w:rsidRPr="00422DCE">
              <w:rPr>
                <w:rFonts w:ascii="Verdana" w:hAnsi="Verdana"/>
                <w:bCs/>
                <w:sz w:val="20"/>
                <w:szCs w:val="20"/>
              </w:rPr>
              <w:t>«</w:t>
            </w:r>
            <w:r w:rsidR="00D61C00" w:rsidRPr="00075DE0">
              <w:rPr>
                <w:rFonts w:ascii="Verdana" w:hAnsi="Verdana"/>
                <w:bCs/>
                <w:sz w:val="20"/>
                <w:szCs w:val="20"/>
              </w:rPr>
              <w:t>Re</w:t>
            </w:r>
            <w:r w:rsidR="00D61C00">
              <w:rPr>
                <w:rFonts w:ascii="Verdana" w:hAnsi="Verdana"/>
                <w:bCs/>
                <w:sz w:val="20"/>
                <w:szCs w:val="20"/>
              </w:rPr>
              <w:t>glas generales de diligenciamiento</w:t>
            </w:r>
            <w:r w:rsidR="00D61C00" w:rsidRPr="00BD40EF">
              <w:rPr>
                <w:rFonts w:ascii="Verdana" w:hAnsi="Verdana"/>
                <w:bCs/>
                <w:sz w:val="20"/>
                <w:szCs w:val="20"/>
              </w:rPr>
              <w:t>»</w:t>
            </w:r>
            <w:r w:rsidR="00D61C00">
              <w:rPr>
                <w:rFonts w:ascii="Verdana" w:hAnsi="Verdana"/>
                <w:bCs/>
                <w:sz w:val="20"/>
                <w:szCs w:val="20"/>
              </w:rPr>
              <w:t xml:space="preserve"> del presente documento.</w:t>
            </w:r>
          </w:p>
          <w:p w14:paraId="29FD6109" w14:textId="05C3650D" w:rsidR="0030331E" w:rsidRPr="00075DE0" w:rsidRDefault="0030331E" w:rsidP="00663431">
            <w:pPr>
              <w:jc w:val="both"/>
              <w:rPr>
                <w:rFonts w:ascii="Verdana" w:eastAsia="Times New Roman" w:hAnsi="Verdana" w:cs="Calibri"/>
                <w:color w:val="000000"/>
                <w:sz w:val="20"/>
                <w:szCs w:val="20"/>
                <w:lang w:eastAsia="es-CO"/>
              </w:rPr>
            </w:pPr>
          </w:p>
        </w:tc>
      </w:tr>
      <w:tr w:rsidR="00663431" w:rsidRPr="00075DE0" w14:paraId="7149EDF4" w14:textId="77777777" w:rsidTr="00043CF1">
        <w:trPr>
          <w:trHeight w:val="844"/>
        </w:trPr>
        <w:tc>
          <w:tcPr>
            <w:tcW w:w="1705" w:type="dxa"/>
            <w:vAlign w:val="center"/>
            <w:hideMark/>
          </w:tcPr>
          <w:p w14:paraId="6E857FF1" w14:textId="640DDD40" w:rsidR="00663431" w:rsidRPr="00075DE0" w:rsidRDefault="00663431" w:rsidP="00663431">
            <w:pPr>
              <w:jc w:val="center"/>
              <w:rPr>
                <w:rFonts w:ascii="Verdana" w:eastAsia="Times New Roman" w:hAnsi="Verdana" w:cs="Calibri"/>
                <w:sz w:val="20"/>
                <w:szCs w:val="20"/>
                <w:lang w:eastAsia="es-CO"/>
              </w:rPr>
            </w:pPr>
            <w:r w:rsidRPr="00075DE0">
              <w:rPr>
                <w:rFonts w:ascii="Verdana" w:hAnsi="Verdana"/>
                <w:color w:val="000000"/>
                <w:sz w:val="20"/>
                <w:szCs w:val="20"/>
                <w:shd w:val="clear" w:color="auto" w:fill="FFFFFF"/>
              </w:rPr>
              <w:lastRenderedPageBreak/>
              <w:t xml:space="preserve">Probabilidad de </w:t>
            </w:r>
            <w:r w:rsidR="002A3B64">
              <w:rPr>
                <w:rFonts w:ascii="Verdana" w:hAnsi="Verdana"/>
                <w:color w:val="000000"/>
                <w:sz w:val="20"/>
                <w:szCs w:val="20"/>
                <w:shd w:val="clear" w:color="auto" w:fill="FFFFFF"/>
              </w:rPr>
              <w:t>i</w:t>
            </w:r>
            <w:r w:rsidRPr="00075DE0">
              <w:rPr>
                <w:rFonts w:ascii="Verdana" w:hAnsi="Verdana"/>
                <w:color w:val="000000"/>
                <w:sz w:val="20"/>
                <w:szCs w:val="20"/>
                <w:shd w:val="clear" w:color="auto" w:fill="FFFFFF"/>
              </w:rPr>
              <w:t xml:space="preserve">ncumplimiento </w:t>
            </w:r>
            <w:r w:rsidR="002A3B64">
              <w:rPr>
                <w:rFonts w:ascii="Verdana" w:hAnsi="Verdana"/>
                <w:color w:val="000000"/>
                <w:sz w:val="20"/>
                <w:szCs w:val="20"/>
                <w:shd w:val="clear" w:color="auto" w:fill="FFFFFF"/>
              </w:rPr>
              <w:t>c</w:t>
            </w:r>
            <w:r w:rsidRPr="00075DE0">
              <w:rPr>
                <w:rFonts w:ascii="Verdana" w:hAnsi="Verdana"/>
                <w:color w:val="000000"/>
                <w:sz w:val="20"/>
                <w:szCs w:val="20"/>
                <w:shd w:val="clear" w:color="auto" w:fill="FFFFFF"/>
              </w:rPr>
              <w:t>rédito</w:t>
            </w:r>
          </w:p>
        </w:tc>
        <w:tc>
          <w:tcPr>
            <w:tcW w:w="3147" w:type="dxa"/>
            <w:vAlign w:val="center"/>
          </w:tcPr>
          <w:p w14:paraId="128A3238"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probabilidad_</w:t>
            </w:r>
          </w:p>
          <w:p w14:paraId="5AB556F3"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incumplimiento_</w:t>
            </w:r>
          </w:p>
          <w:p w14:paraId="79D5827D"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credito</w:t>
            </w:r>
          </w:p>
        </w:tc>
        <w:tc>
          <w:tcPr>
            <w:tcW w:w="4215" w:type="dxa"/>
            <w:vAlign w:val="center"/>
          </w:tcPr>
          <w:p w14:paraId="5D1D4123" w14:textId="77777777" w:rsidR="00663431" w:rsidRDefault="00663431" w:rsidP="00663431">
            <w:pPr>
              <w:jc w:val="both"/>
              <w:rPr>
                <w:rFonts w:ascii="Verdana" w:hAnsi="Verdana"/>
                <w:bCs/>
                <w:sz w:val="20"/>
                <w:szCs w:val="20"/>
              </w:rPr>
            </w:pPr>
            <w:r w:rsidRPr="00075DE0">
              <w:rPr>
                <w:rFonts w:ascii="Verdana" w:eastAsia="Times New Roman" w:hAnsi="Verdana" w:cs="Calibri"/>
                <w:color w:val="000000"/>
                <w:sz w:val="20"/>
                <w:szCs w:val="20"/>
                <w:lang w:eastAsia="es-CO"/>
              </w:rPr>
              <w:t>Registre (entre 0</w:t>
            </w:r>
            <w:r w:rsidR="00EA76BD">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0000 y 1</w:t>
            </w:r>
            <w:r w:rsidR="00EA76BD">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000</w:t>
            </w:r>
            <w:r w:rsidR="00110577">
              <w:rPr>
                <w:rFonts w:ascii="Verdana" w:eastAsia="Times New Roman" w:hAnsi="Verdana" w:cs="Calibri"/>
                <w:color w:val="000000"/>
                <w:sz w:val="20"/>
                <w:szCs w:val="20"/>
                <w:lang w:eastAsia="es-CO"/>
              </w:rPr>
              <w:t>0</w:t>
            </w:r>
            <w:r w:rsidRPr="00075DE0">
              <w:rPr>
                <w:rFonts w:ascii="Verdana" w:eastAsia="Times New Roman" w:hAnsi="Verdana" w:cs="Calibri"/>
                <w:color w:val="000000"/>
                <w:sz w:val="20"/>
                <w:szCs w:val="20"/>
                <w:lang w:eastAsia="es-CO"/>
              </w:rPr>
              <w:t xml:space="preserve">) la probabilidad de incumplimiento calculada de acuerdo con el modelo interno no objetado por la SFC o calculada con el modelo de referencia, según sea el caso.  </w:t>
            </w:r>
            <w:r w:rsidR="004B7CE9">
              <w:rPr>
                <w:rFonts w:ascii="Verdana" w:eastAsia="Times New Roman" w:hAnsi="Verdana" w:cs="Calibri"/>
                <w:color w:val="000000"/>
                <w:sz w:val="20"/>
                <w:szCs w:val="20"/>
                <w:lang w:eastAsia="es-CO"/>
              </w:rPr>
              <w:t>Cuando</w:t>
            </w:r>
            <w:r w:rsidRPr="00075DE0">
              <w:rPr>
                <w:rFonts w:ascii="Verdana" w:eastAsia="Times New Roman" w:hAnsi="Verdana" w:cs="Calibri"/>
                <w:color w:val="000000"/>
                <w:sz w:val="20"/>
                <w:szCs w:val="20"/>
                <w:lang w:eastAsia="es-CO"/>
              </w:rPr>
              <w:t xml:space="preserve"> la entidad </w:t>
            </w:r>
            <w:r w:rsidR="009D02FD">
              <w:rPr>
                <w:rFonts w:ascii="Verdana" w:eastAsia="Times New Roman" w:hAnsi="Verdana" w:cs="Calibri"/>
                <w:color w:val="000000"/>
                <w:sz w:val="20"/>
                <w:szCs w:val="20"/>
                <w:lang w:eastAsia="es-CO"/>
              </w:rPr>
              <w:t>utilice</w:t>
            </w:r>
            <w:r w:rsidRPr="00075DE0">
              <w:rPr>
                <w:rFonts w:ascii="Verdana" w:eastAsia="Times New Roman" w:hAnsi="Verdana" w:cs="Calibri"/>
                <w:color w:val="000000"/>
                <w:sz w:val="20"/>
                <w:szCs w:val="20"/>
                <w:lang w:eastAsia="es-CO"/>
              </w:rPr>
              <w:t xml:space="preserve"> los modelos de referencia de la SFC, debe reportar la probabilidad </w:t>
            </w:r>
            <w:r>
              <w:rPr>
                <w:rFonts w:ascii="Verdana" w:eastAsia="Times New Roman" w:hAnsi="Verdana" w:cs="Calibri"/>
                <w:color w:val="000000"/>
                <w:sz w:val="20"/>
                <w:szCs w:val="20"/>
                <w:lang w:eastAsia="es-CO"/>
              </w:rPr>
              <w:t xml:space="preserve">que corresponda </w:t>
            </w:r>
            <w:r w:rsidR="002770C2">
              <w:rPr>
                <w:rFonts w:ascii="Verdana" w:eastAsia="Times New Roman" w:hAnsi="Verdana" w:cs="Calibri"/>
                <w:color w:val="000000"/>
                <w:sz w:val="20"/>
                <w:szCs w:val="20"/>
                <w:lang w:eastAsia="es-CO"/>
              </w:rPr>
              <w:t>de acuerdo con</w:t>
            </w:r>
            <w:r>
              <w:rPr>
                <w:rFonts w:ascii="Verdana" w:eastAsia="Times New Roman" w:hAnsi="Verdana" w:cs="Calibri"/>
                <w:color w:val="000000"/>
                <w:sz w:val="20"/>
                <w:szCs w:val="20"/>
                <w:lang w:eastAsia="es-CO"/>
              </w:rPr>
              <w:t xml:space="preserve"> la matriz </w:t>
            </w:r>
            <w:r w:rsidR="002770C2">
              <w:rPr>
                <w:rFonts w:ascii="Verdana" w:eastAsia="Times New Roman" w:hAnsi="Verdana" w:cs="Calibri"/>
                <w:color w:val="000000"/>
                <w:sz w:val="20"/>
                <w:szCs w:val="20"/>
                <w:lang w:eastAsia="es-CO"/>
              </w:rPr>
              <w:t xml:space="preserve">A </w:t>
            </w:r>
            <w:r>
              <w:rPr>
                <w:rFonts w:ascii="Verdana" w:eastAsia="Times New Roman" w:hAnsi="Verdana" w:cs="Calibri"/>
                <w:color w:val="000000"/>
                <w:sz w:val="20"/>
                <w:szCs w:val="20"/>
                <w:lang w:eastAsia="es-CO"/>
              </w:rPr>
              <w:t xml:space="preserve">del </w:t>
            </w:r>
            <w:r w:rsidR="00314088">
              <w:rPr>
                <w:rFonts w:ascii="Verdana" w:eastAsia="Times New Roman" w:hAnsi="Verdana" w:cs="Calibri"/>
                <w:color w:val="000000"/>
                <w:sz w:val="20"/>
                <w:szCs w:val="20"/>
                <w:lang w:eastAsia="es-CO"/>
              </w:rPr>
              <w:t>a</w:t>
            </w:r>
            <w:r>
              <w:rPr>
                <w:rFonts w:ascii="Verdana" w:eastAsia="Times New Roman" w:hAnsi="Verdana" w:cs="Calibri"/>
                <w:color w:val="000000"/>
                <w:sz w:val="20"/>
                <w:szCs w:val="20"/>
                <w:lang w:eastAsia="es-CO"/>
              </w:rPr>
              <w:t xml:space="preserve">nexo 1 del </w:t>
            </w:r>
            <w:r w:rsidR="00314088">
              <w:rPr>
                <w:rFonts w:ascii="Verdana" w:eastAsia="Times New Roman" w:hAnsi="Verdana" w:cs="Calibri"/>
                <w:color w:val="000000"/>
                <w:sz w:val="20"/>
                <w:szCs w:val="20"/>
                <w:lang w:eastAsia="es-CO"/>
              </w:rPr>
              <w:t>c</w:t>
            </w:r>
            <w:r>
              <w:rPr>
                <w:rFonts w:ascii="Verdana" w:eastAsia="Times New Roman" w:hAnsi="Verdana" w:cs="Calibri"/>
                <w:color w:val="000000"/>
                <w:sz w:val="20"/>
                <w:szCs w:val="20"/>
                <w:lang w:eastAsia="es-CO"/>
              </w:rPr>
              <w:t xml:space="preserve">apítulo XXXI </w:t>
            </w:r>
            <w:r w:rsidR="002D6E8B">
              <w:rPr>
                <w:rFonts w:ascii="Verdana" w:eastAsia="Times New Roman" w:hAnsi="Verdana" w:cs="Calibri"/>
                <w:color w:val="000000"/>
                <w:sz w:val="20"/>
                <w:szCs w:val="20"/>
                <w:lang w:eastAsia="es-CO"/>
              </w:rPr>
              <w:t xml:space="preserve">SIAR </w:t>
            </w:r>
            <w:r>
              <w:rPr>
                <w:rFonts w:ascii="Verdana" w:eastAsia="Times New Roman" w:hAnsi="Verdana" w:cs="Calibri"/>
                <w:color w:val="000000"/>
                <w:sz w:val="20"/>
                <w:szCs w:val="20"/>
                <w:lang w:eastAsia="es-CO"/>
              </w:rPr>
              <w:t>de la CBCF.</w:t>
            </w:r>
            <w:r w:rsidRPr="00075DE0">
              <w:rPr>
                <w:rFonts w:ascii="Verdana" w:eastAsia="Times New Roman" w:hAnsi="Verdana" w:cs="Calibri"/>
                <w:color w:val="000000"/>
                <w:sz w:val="20"/>
                <w:szCs w:val="20"/>
                <w:lang w:eastAsia="es-CO"/>
              </w:rPr>
              <w:t xml:space="preserve"> En caso de no contar con probabilidad de incumplimiento debido al uso de los modelos determinísticos</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reporte este campo como</w:t>
            </w:r>
            <w:r w:rsidRPr="00660A2B">
              <w:rPr>
                <w:rFonts w:ascii="Verdana" w:hAnsi="Verdana"/>
                <w:bCs/>
                <w:sz w:val="20"/>
                <w:szCs w:val="20"/>
              </w:rPr>
              <w:t xml:space="preserve"> «</w:t>
            </w:r>
            <w:r w:rsidRPr="00075DE0">
              <w:rPr>
                <w:rFonts w:ascii="Verdana" w:eastAsia="Times New Roman" w:hAnsi="Verdana" w:cs="Calibri"/>
                <w:color w:val="000000"/>
                <w:sz w:val="20"/>
                <w:szCs w:val="20"/>
                <w:lang w:eastAsia="es-CO"/>
              </w:rPr>
              <w:t>Nulo</w:t>
            </w:r>
            <w:r w:rsidRPr="00660A2B">
              <w:rPr>
                <w:rFonts w:ascii="Verdana" w:hAnsi="Verdana"/>
                <w:bCs/>
                <w:sz w:val="20"/>
                <w:szCs w:val="20"/>
              </w:rPr>
              <w:t>»</w:t>
            </w:r>
            <w:r>
              <w:rPr>
                <w:rFonts w:ascii="Verdana" w:hAnsi="Verdana"/>
                <w:bCs/>
                <w:sz w:val="20"/>
                <w:szCs w:val="20"/>
              </w:rPr>
              <w:t>.</w:t>
            </w:r>
          </w:p>
          <w:p w14:paraId="0EFBE9ED" w14:textId="50FACAF1" w:rsidR="0065472B" w:rsidRPr="00075DE0" w:rsidRDefault="0065472B" w:rsidP="00663431">
            <w:pPr>
              <w:jc w:val="both"/>
              <w:rPr>
                <w:rFonts w:ascii="Verdana" w:eastAsia="Times New Roman" w:hAnsi="Verdana" w:cs="Calibri"/>
                <w:color w:val="000000"/>
                <w:sz w:val="20"/>
                <w:szCs w:val="20"/>
                <w:lang w:eastAsia="es-CO"/>
              </w:rPr>
            </w:pPr>
          </w:p>
        </w:tc>
      </w:tr>
      <w:tr w:rsidR="00663431" w:rsidRPr="00075DE0" w14:paraId="5EE85FDE" w14:textId="77777777" w:rsidTr="00043CF1">
        <w:trPr>
          <w:trHeight w:val="1630"/>
        </w:trPr>
        <w:tc>
          <w:tcPr>
            <w:tcW w:w="1705" w:type="dxa"/>
            <w:vAlign w:val="center"/>
          </w:tcPr>
          <w:p w14:paraId="3C3AA712" w14:textId="6D4A99C1" w:rsidR="00663431" w:rsidRPr="00075DE0" w:rsidRDefault="00663431" w:rsidP="00663431">
            <w:pPr>
              <w:jc w:val="center"/>
              <w:rPr>
                <w:rFonts w:ascii="Verdana" w:hAnsi="Verdana"/>
                <w:color w:val="000000"/>
                <w:sz w:val="20"/>
                <w:szCs w:val="20"/>
                <w:shd w:val="clear" w:color="auto" w:fill="FFFFFF"/>
              </w:rPr>
            </w:pPr>
            <w:r w:rsidRPr="00075DE0">
              <w:rPr>
                <w:rFonts w:ascii="Verdana" w:hAnsi="Verdana"/>
                <w:color w:val="000000"/>
                <w:sz w:val="20"/>
                <w:szCs w:val="20"/>
                <w:shd w:val="clear" w:color="auto" w:fill="FFFFFF"/>
              </w:rPr>
              <w:t>P</w:t>
            </w:r>
            <w:r>
              <w:rPr>
                <w:rFonts w:ascii="Verdana" w:hAnsi="Verdana"/>
                <w:color w:val="000000"/>
                <w:sz w:val="20"/>
                <w:szCs w:val="20"/>
                <w:shd w:val="clear" w:color="auto" w:fill="FFFFFF"/>
              </w:rPr>
              <w:t>é</w:t>
            </w:r>
            <w:r w:rsidRPr="00075DE0">
              <w:rPr>
                <w:rFonts w:ascii="Verdana" w:hAnsi="Verdana"/>
                <w:color w:val="000000"/>
                <w:sz w:val="20"/>
                <w:szCs w:val="20"/>
                <w:shd w:val="clear" w:color="auto" w:fill="FFFFFF"/>
              </w:rPr>
              <w:t xml:space="preserve">rdida </w:t>
            </w:r>
            <w:r w:rsidR="002A3B64">
              <w:rPr>
                <w:rFonts w:ascii="Verdana" w:hAnsi="Verdana"/>
                <w:color w:val="000000"/>
                <w:sz w:val="20"/>
                <w:szCs w:val="20"/>
                <w:shd w:val="clear" w:color="auto" w:fill="FFFFFF"/>
              </w:rPr>
              <w:t>d</w:t>
            </w:r>
            <w:r w:rsidRPr="00075DE0">
              <w:rPr>
                <w:rFonts w:ascii="Verdana" w:hAnsi="Verdana"/>
                <w:color w:val="000000"/>
                <w:sz w:val="20"/>
                <w:szCs w:val="20"/>
                <w:shd w:val="clear" w:color="auto" w:fill="FFFFFF"/>
              </w:rPr>
              <w:t xml:space="preserve">ado </w:t>
            </w:r>
            <w:r w:rsidR="002A3B64">
              <w:rPr>
                <w:rFonts w:ascii="Verdana" w:hAnsi="Verdana"/>
                <w:color w:val="000000"/>
                <w:sz w:val="20"/>
                <w:szCs w:val="20"/>
                <w:shd w:val="clear" w:color="auto" w:fill="FFFFFF"/>
              </w:rPr>
              <w:t>i</w:t>
            </w:r>
            <w:r w:rsidRPr="00075DE0">
              <w:rPr>
                <w:rFonts w:ascii="Verdana" w:hAnsi="Verdana"/>
                <w:color w:val="000000"/>
                <w:sz w:val="20"/>
                <w:szCs w:val="20"/>
                <w:shd w:val="clear" w:color="auto" w:fill="FFFFFF"/>
              </w:rPr>
              <w:t>ncumplimiento</w:t>
            </w:r>
          </w:p>
        </w:tc>
        <w:tc>
          <w:tcPr>
            <w:tcW w:w="3147" w:type="dxa"/>
            <w:vAlign w:val="center"/>
          </w:tcPr>
          <w:p w14:paraId="31283A14"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perdida_dado_</w:t>
            </w:r>
          </w:p>
          <w:p w14:paraId="6F48D140" w14:textId="77777777" w:rsidR="00663431" w:rsidRPr="00075DE0" w:rsidRDefault="00663431" w:rsidP="00663431">
            <w:pPr>
              <w:jc w:val="center"/>
              <w:rPr>
                <w:rFonts w:ascii="Verdana" w:eastAsia="Times New Roman" w:hAnsi="Verdana" w:cs="Calibri"/>
                <w:color w:val="000000"/>
                <w:sz w:val="20"/>
                <w:szCs w:val="20"/>
                <w:lang w:eastAsia="es-CO"/>
              </w:rPr>
            </w:pPr>
            <w:r w:rsidRPr="00075DE0">
              <w:rPr>
                <w:rFonts w:ascii="Verdana" w:eastAsia="Times New Roman" w:hAnsi="Verdana" w:cs="Calibri"/>
                <w:color w:val="000000"/>
                <w:sz w:val="20"/>
                <w:szCs w:val="20"/>
                <w:lang w:eastAsia="es-CO"/>
              </w:rPr>
              <w:t>incumplimiento</w:t>
            </w:r>
          </w:p>
        </w:tc>
        <w:tc>
          <w:tcPr>
            <w:tcW w:w="4215" w:type="dxa"/>
            <w:vAlign w:val="center"/>
          </w:tcPr>
          <w:p w14:paraId="20731C23" w14:textId="77777777" w:rsidR="00663431" w:rsidRDefault="00663431" w:rsidP="00663431">
            <w:pPr>
              <w:jc w:val="both"/>
              <w:rPr>
                <w:rFonts w:ascii="Verdana" w:hAnsi="Verdana"/>
                <w:bCs/>
                <w:sz w:val="20"/>
                <w:szCs w:val="20"/>
              </w:rPr>
            </w:pPr>
            <w:r w:rsidRPr="00075DE0">
              <w:rPr>
                <w:rFonts w:ascii="Verdana" w:eastAsia="Times New Roman" w:hAnsi="Verdana" w:cs="Calibri"/>
                <w:color w:val="000000"/>
                <w:sz w:val="20"/>
                <w:szCs w:val="20"/>
                <w:lang w:eastAsia="es-CO"/>
              </w:rPr>
              <w:t>Registre (entre 0</w:t>
            </w:r>
            <w:r w:rsidR="00090C92">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0000 y 1</w:t>
            </w:r>
            <w:r w:rsidR="00090C92">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000</w:t>
            </w:r>
            <w:r w:rsidR="00110577">
              <w:rPr>
                <w:rFonts w:ascii="Verdana" w:eastAsia="Times New Roman" w:hAnsi="Verdana" w:cs="Calibri"/>
                <w:color w:val="000000"/>
                <w:sz w:val="20"/>
                <w:szCs w:val="20"/>
                <w:lang w:eastAsia="es-CO"/>
              </w:rPr>
              <w:t>0</w:t>
            </w:r>
            <w:r w:rsidRPr="00075DE0">
              <w:rPr>
                <w:rFonts w:ascii="Verdana" w:eastAsia="Times New Roman" w:hAnsi="Verdana" w:cs="Calibri"/>
                <w:color w:val="000000"/>
                <w:sz w:val="20"/>
                <w:szCs w:val="20"/>
                <w:lang w:eastAsia="es-CO"/>
              </w:rPr>
              <w:t xml:space="preserve">) la pérdida dado el incumplimiento, obtenida a través de la metodología utilizada. Cuando un crédito tenga más de una garantía asociada, se deberá reportar la PDI ponderada de acuerdo </w:t>
            </w:r>
            <w:r>
              <w:rPr>
                <w:rFonts w:ascii="Verdana" w:eastAsia="Times New Roman" w:hAnsi="Verdana" w:cs="Calibri"/>
                <w:color w:val="000000"/>
                <w:sz w:val="20"/>
                <w:szCs w:val="20"/>
                <w:lang w:eastAsia="es-CO"/>
              </w:rPr>
              <w:t>con e</w:t>
            </w:r>
            <w:r w:rsidRPr="00075DE0">
              <w:rPr>
                <w:rFonts w:ascii="Verdana" w:eastAsia="Times New Roman" w:hAnsi="Verdana" w:cs="Calibri"/>
                <w:color w:val="000000"/>
                <w:sz w:val="20"/>
                <w:szCs w:val="20"/>
                <w:lang w:eastAsia="es-CO"/>
              </w:rPr>
              <w:t>l porcentaje de asignación de las garantías sobre la exposición</w:t>
            </w:r>
            <w:r w:rsidR="00F2255B">
              <w:rPr>
                <w:rFonts w:ascii="Verdana" w:eastAsia="Times New Roman" w:hAnsi="Verdana" w:cs="Calibri"/>
                <w:color w:val="000000"/>
                <w:sz w:val="20"/>
                <w:szCs w:val="20"/>
                <w:lang w:eastAsia="es-CO"/>
              </w:rPr>
              <w:t xml:space="preserve"> (incluyendo la PDI aplicable a la porción descubierta)</w:t>
            </w:r>
            <w:r>
              <w:rPr>
                <w:rFonts w:ascii="Verdana" w:eastAsia="Times New Roman" w:hAnsi="Verdana" w:cs="Calibri"/>
                <w:color w:val="000000"/>
                <w:sz w:val="20"/>
                <w:szCs w:val="20"/>
                <w:lang w:eastAsia="es-CO"/>
              </w:rPr>
              <w:t>. Por ejemplo: u</w:t>
            </w:r>
            <w:r w:rsidRPr="00075DE0">
              <w:rPr>
                <w:rFonts w:ascii="Verdana" w:eastAsia="Times New Roman" w:hAnsi="Verdana" w:cs="Calibri"/>
                <w:color w:val="000000"/>
                <w:sz w:val="20"/>
                <w:szCs w:val="20"/>
                <w:lang w:eastAsia="es-CO"/>
              </w:rPr>
              <w:t>n crédito con 2 garantías asociadas (</w:t>
            </w:r>
            <w:r>
              <w:rPr>
                <w:rFonts w:ascii="Verdana" w:eastAsia="Times New Roman" w:hAnsi="Verdana" w:cs="Calibri"/>
                <w:color w:val="000000"/>
                <w:sz w:val="20"/>
                <w:szCs w:val="20"/>
                <w:lang w:eastAsia="es-CO"/>
              </w:rPr>
              <w:t>h</w:t>
            </w:r>
            <w:r w:rsidRPr="00075DE0">
              <w:rPr>
                <w:rFonts w:ascii="Verdana" w:eastAsia="Times New Roman" w:hAnsi="Verdana" w:cs="Calibri"/>
                <w:color w:val="000000"/>
                <w:sz w:val="20"/>
                <w:szCs w:val="20"/>
                <w:lang w:eastAsia="es-CO"/>
              </w:rPr>
              <w:t>ipoteca</w:t>
            </w:r>
            <w:r>
              <w:rPr>
                <w:rFonts w:ascii="Verdana" w:eastAsia="Times New Roman" w:hAnsi="Verdana" w:cs="Calibri"/>
                <w:color w:val="000000"/>
                <w:sz w:val="20"/>
                <w:szCs w:val="20"/>
                <w:lang w:eastAsia="es-CO"/>
              </w:rPr>
              <w:t xml:space="preserve"> y</w:t>
            </w:r>
            <w:r w:rsidRPr="00075DE0">
              <w:rPr>
                <w:rFonts w:ascii="Verdana" w:eastAsia="Times New Roman" w:hAnsi="Verdana" w:cs="Calibri"/>
                <w:color w:val="000000"/>
                <w:sz w:val="20"/>
                <w:szCs w:val="20"/>
                <w:lang w:eastAsia="es-CO"/>
              </w:rPr>
              <w:t xml:space="preserve"> </w:t>
            </w:r>
            <w:r>
              <w:rPr>
                <w:rFonts w:ascii="Verdana" w:eastAsia="Times New Roman" w:hAnsi="Verdana" w:cs="Calibri"/>
                <w:color w:val="000000"/>
                <w:sz w:val="20"/>
                <w:szCs w:val="20"/>
                <w:lang w:eastAsia="es-CO"/>
              </w:rPr>
              <w:t>l</w:t>
            </w:r>
            <w:r w:rsidRPr="00075DE0">
              <w:rPr>
                <w:rFonts w:ascii="Verdana" w:eastAsia="Times New Roman" w:hAnsi="Verdana" w:cs="Calibri"/>
                <w:color w:val="000000"/>
                <w:sz w:val="20"/>
                <w:szCs w:val="20"/>
                <w:lang w:eastAsia="es-CO"/>
              </w:rPr>
              <w:t>easing diferente al inmobiliario)</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cuyos porcentajes de asignación (valor garantía/exposición) son 70% y 30%</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respectivamente</w:t>
            </w:r>
            <w:r>
              <w:rPr>
                <w:rFonts w:ascii="Verdana" w:eastAsia="Times New Roman" w:hAnsi="Verdana" w:cs="Calibri"/>
                <w:color w:val="000000"/>
                <w:sz w:val="20"/>
                <w:szCs w:val="20"/>
                <w:lang w:eastAsia="es-CO"/>
              </w:rPr>
              <w:t>,</w:t>
            </w:r>
            <w:r w:rsidRPr="00075DE0">
              <w:rPr>
                <w:rFonts w:ascii="Verdana" w:eastAsia="Times New Roman" w:hAnsi="Verdana" w:cs="Calibri"/>
                <w:color w:val="000000"/>
                <w:sz w:val="20"/>
                <w:szCs w:val="20"/>
                <w:lang w:eastAsia="es-CO"/>
              </w:rPr>
              <w:t xml:space="preserve"> debe reportar una PDI</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(70%*PDI Hipoteca)</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w:t>
            </w:r>
            <w:r>
              <w:rPr>
                <w:rFonts w:ascii="Verdana" w:eastAsia="Times New Roman" w:hAnsi="Verdana" w:cs="Calibri"/>
                <w:color w:val="000000"/>
                <w:sz w:val="20"/>
                <w:szCs w:val="20"/>
                <w:lang w:eastAsia="es-CO"/>
              </w:rPr>
              <w:t xml:space="preserve"> </w:t>
            </w:r>
            <w:r w:rsidRPr="00075DE0">
              <w:rPr>
                <w:rFonts w:ascii="Verdana" w:eastAsia="Times New Roman" w:hAnsi="Verdana" w:cs="Calibri"/>
                <w:color w:val="000000"/>
                <w:sz w:val="20"/>
                <w:szCs w:val="20"/>
                <w:lang w:eastAsia="es-CO"/>
              </w:rPr>
              <w:t xml:space="preserve">(30%*PDI Leasing diferente al inmobiliario). En caso de no contar con pérdida dado el incumplimiento debido al uso de los modelos determinísticos reporte este campo como </w:t>
            </w:r>
            <w:r w:rsidRPr="00660A2B">
              <w:rPr>
                <w:rFonts w:ascii="Verdana" w:hAnsi="Verdana"/>
                <w:bCs/>
                <w:sz w:val="20"/>
                <w:szCs w:val="20"/>
              </w:rPr>
              <w:t>«</w:t>
            </w:r>
            <w:r w:rsidRPr="00075DE0">
              <w:rPr>
                <w:rFonts w:ascii="Verdana" w:eastAsia="Times New Roman" w:hAnsi="Verdana" w:cs="Calibri"/>
                <w:color w:val="000000"/>
                <w:sz w:val="20"/>
                <w:szCs w:val="20"/>
                <w:lang w:eastAsia="es-CO"/>
              </w:rPr>
              <w:t>Nulo</w:t>
            </w:r>
            <w:r w:rsidRPr="00660A2B">
              <w:rPr>
                <w:rFonts w:ascii="Verdana" w:hAnsi="Verdana"/>
                <w:bCs/>
                <w:sz w:val="20"/>
                <w:szCs w:val="20"/>
              </w:rPr>
              <w:t>»</w:t>
            </w:r>
            <w:r>
              <w:rPr>
                <w:rFonts w:ascii="Verdana" w:hAnsi="Verdana"/>
                <w:bCs/>
                <w:sz w:val="20"/>
                <w:szCs w:val="20"/>
              </w:rPr>
              <w:t>.</w:t>
            </w:r>
          </w:p>
          <w:p w14:paraId="57908919" w14:textId="4048720B" w:rsidR="0065472B" w:rsidRPr="00075DE0" w:rsidRDefault="0065472B" w:rsidP="00663431">
            <w:pPr>
              <w:jc w:val="both"/>
              <w:rPr>
                <w:rFonts w:ascii="Verdana" w:eastAsia="Times New Roman" w:hAnsi="Verdana" w:cs="Calibri"/>
                <w:color w:val="000000"/>
                <w:sz w:val="20"/>
                <w:szCs w:val="20"/>
                <w:lang w:eastAsia="es-CO"/>
              </w:rPr>
            </w:pPr>
          </w:p>
        </w:tc>
      </w:tr>
    </w:tbl>
    <w:p w14:paraId="2D0CA503" w14:textId="43B447E5" w:rsidR="008F0D79" w:rsidRPr="00075DE0" w:rsidRDefault="008F0D79" w:rsidP="001B665F">
      <w:pPr>
        <w:rPr>
          <w:rFonts w:ascii="Verdana" w:hAnsi="Verdana"/>
          <w:sz w:val="20"/>
          <w:szCs w:val="20"/>
        </w:rPr>
      </w:pPr>
    </w:p>
    <w:sectPr w:rsidR="008F0D79" w:rsidRPr="00075DE0" w:rsidSect="003C4012">
      <w:headerReference w:type="default" r:id="rId11"/>
      <w:footerReference w:type="default" r:id="rId12"/>
      <w:pgSz w:w="12240" w:h="18720" w:code="123"/>
      <w:pgMar w:top="2127" w:right="1701" w:bottom="1417" w:left="1701" w:header="708" w:footer="708" w:gutter="0"/>
      <w:cols w:space="708"/>
      <w:docGrid w:linePitch="360"/>
      <w:sectPrChange w:id="1" w:author="Santiago Guerrero Sabogal" w:date="2025-10-14T13:50:00Z" w16du:dateUtc="2025-10-14T18:50:00Z">
        <w:sectPr w:rsidR="008F0D79" w:rsidRPr="00075DE0" w:rsidSect="003C4012">
          <w:pgSz w:h="20160" w:code="120"/>
          <w:pgMar w:top="2127" w:right="1701" w:bottom="1417" w:left="1701" w:header="708" w:footer="708"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A5B46" w14:textId="77777777" w:rsidR="00EA6042" w:rsidRDefault="00EA6042" w:rsidP="00757B36">
      <w:r>
        <w:separator/>
      </w:r>
    </w:p>
  </w:endnote>
  <w:endnote w:type="continuationSeparator" w:id="0">
    <w:p w14:paraId="6B7A9003" w14:textId="77777777" w:rsidR="00EA6042" w:rsidRDefault="00EA6042" w:rsidP="00757B36">
      <w:r>
        <w:continuationSeparator/>
      </w:r>
    </w:p>
  </w:endnote>
  <w:endnote w:type="continuationNotice" w:id="1">
    <w:p w14:paraId="3D4489D2" w14:textId="77777777" w:rsidR="00EA6042" w:rsidRDefault="00EA6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lang w:val="es-ES"/>
      </w:rPr>
      <w:id w:val="-1071572585"/>
      <w:docPartObj>
        <w:docPartGallery w:val="Page Numbers (Bottom of Page)"/>
        <w:docPartUnique/>
      </w:docPartObj>
    </w:sdtPr>
    <w:sdtContent>
      <w:p w14:paraId="324BE145" w14:textId="6A7E2C22" w:rsidR="00D34D20" w:rsidRPr="00160630" w:rsidRDefault="00D34D20">
        <w:pPr>
          <w:pStyle w:val="Piedepgina"/>
          <w:jc w:val="right"/>
          <w:rPr>
            <w:rFonts w:ascii="Verdana" w:hAnsi="Verdana"/>
          </w:rPr>
        </w:pPr>
        <w:r w:rsidRPr="00160630">
          <w:rPr>
            <w:rFonts w:ascii="Verdana" w:hAnsi="Verdana"/>
            <w:noProof/>
            <w:lang w:eastAsia="es-CO"/>
          </w:rPr>
          <mc:AlternateContent>
            <mc:Choice Requires="wps">
              <w:drawing>
                <wp:anchor distT="0" distB="0" distL="114300" distR="114300" simplePos="0" relativeHeight="251658240" behindDoc="0" locked="0" layoutInCell="1" allowOverlap="1" wp14:anchorId="7AE5F12B" wp14:editId="549669A8">
                  <wp:simplePos x="0" y="0"/>
                  <wp:positionH relativeFrom="margin">
                    <wp:posOffset>-95885</wp:posOffset>
                  </wp:positionH>
                  <wp:positionV relativeFrom="paragraph">
                    <wp:posOffset>-245745</wp:posOffset>
                  </wp:positionV>
                  <wp:extent cx="6019800" cy="1229995"/>
                  <wp:effectExtent l="0" t="0" r="0" b="0"/>
                  <wp:wrapNone/>
                  <wp:docPr id="1223101586" name="Cuadro de texto 1"/>
                  <wp:cNvGraphicFramePr/>
                  <a:graphic xmlns:a="http://schemas.openxmlformats.org/drawingml/2006/main">
                    <a:graphicData uri="http://schemas.microsoft.com/office/word/2010/wordprocessingShape">
                      <wps:wsp>
                        <wps:cNvSpPr txBox="1"/>
                        <wps:spPr>
                          <a:xfrm>
                            <a:off x="0" y="0"/>
                            <a:ext cx="6019800" cy="1229995"/>
                          </a:xfrm>
                          <a:prstGeom prst="rect">
                            <a:avLst/>
                          </a:prstGeom>
                          <a:noFill/>
                          <a:ln w="6350">
                            <a:noFill/>
                          </a:ln>
                        </wps:spPr>
                        <wps:txbx>
                          <w:txbxContent>
                            <w:p w14:paraId="79D92C5A" w14:textId="296032C4"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r w:rsidR="00160630">
                                <w:rPr>
                                  <w:rFonts w:ascii="Helvetica" w:hAnsi="Helvetica"/>
                                  <w:sz w:val="20"/>
                                  <w:szCs w:val="20"/>
                                </w:rPr>
                                <w:t>________</w:t>
                              </w:r>
                            </w:p>
                            <w:p w14:paraId="36776589" w14:textId="77777777" w:rsidR="00160630" w:rsidRPr="00160630" w:rsidRDefault="00160630" w:rsidP="00D34D20">
                              <w:pPr>
                                <w:spacing w:line="276" w:lineRule="auto"/>
                                <w:jc w:val="both"/>
                                <w:rPr>
                                  <w:rFonts w:ascii="Verdana" w:hAnsi="Verdana"/>
                                  <w:sz w:val="4"/>
                                  <w:szCs w:val="4"/>
                                </w:rPr>
                              </w:pPr>
                            </w:p>
                            <w:p w14:paraId="3453229D" w14:textId="7B84F351" w:rsidR="00D34D20" w:rsidRPr="00284759" w:rsidRDefault="00D34D20" w:rsidP="00D34D20">
                              <w:pPr>
                                <w:spacing w:line="276" w:lineRule="auto"/>
                                <w:jc w:val="both"/>
                                <w:rPr>
                                  <w:rFonts w:ascii="Verdana" w:hAnsi="Verdana"/>
                                  <w:sz w:val="20"/>
                                  <w:szCs w:val="20"/>
                                </w:rPr>
                              </w:pPr>
                              <w:r w:rsidRPr="00284759">
                                <w:rPr>
                                  <w:rFonts w:ascii="Verdana" w:hAnsi="Verdana"/>
                                  <w:sz w:val="20"/>
                                  <w:szCs w:val="20"/>
                                </w:rPr>
                                <w:t xml:space="preserve">Dirección: </w:t>
                              </w:r>
                              <w:r w:rsidR="00F8640E" w:rsidRPr="00AA1AA8">
                                <w:rPr>
                                  <w:rFonts w:ascii="Verdana" w:hAnsi="Verdana" w:cs="Arial"/>
                                  <w:bCs/>
                                  <w:sz w:val="20"/>
                                  <w:szCs w:val="20"/>
                                  <w:lang w:val="es-MX"/>
                                </w:rPr>
                                <w:t xml:space="preserve">Calle 7 No. 4 - 49  </w:t>
                              </w:r>
                              <w:r w:rsidRPr="00284759">
                                <w:rPr>
                                  <w:rFonts w:ascii="Verdana" w:hAnsi="Verdana"/>
                                  <w:sz w:val="20"/>
                                  <w:szCs w:val="20"/>
                                </w:rPr>
                                <w:t>Bogotá D.C., Colombia</w:t>
                              </w:r>
                            </w:p>
                            <w:p w14:paraId="7463B94C" w14:textId="76A5C288" w:rsidR="00D34D20" w:rsidRPr="00284759" w:rsidRDefault="00D34D20" w:rsidP="00D34D20">
                              <w:pPr>
                                <w:spacing w:line="276" w:lineRule="auto"/>
                                <w:jc w:val="both"/>
                                <w:rPr>
                                  <w:rFonts w:ascii="Verdana" w:hAnsi="Verdana"/>
                                  <w:sz w:val="20"/>
                                  <w:szCs w:val="20"/>
                                </w:rPr>
                              </w:pPr>
                              <w:r w:rsidRPr="00284759">
                                <w:rPr>
                                  <w:rFonts w:ascii="Verdana" w:hAnsi="Verdana"/>
                                  <w:sz w:val="20"/>
                                  <w:szCs w:val="20"/>
                                </w:rPr>
                                <w:t>Conmutador: (+57) 601 5</w:t>
                              </w:r>
                              <w:r w:rsidR="00F8640E">
                                <w:rPr>
                                  <w:rFonts w:ascii="Verdana" w:hAnsi="Verdana"/>
                                  <w:sz w:val="20"/>
                                  <w:szCs w:val="20"/>
                                </w:rPr>
                                <w:t>94</w:t>
                              </w:r>
                              <w:r w:rsidRPr="00284759">
                                <w:rPr>
                                  <w:rFonts w:ascii="Verdana" w:hAnsi="Verdana"/>
                                  <w:sz w:val="20"/>
                                  <w:szCs w:val="20"/>
                                </w:rPr>
                                <w:t xml:space="preserve"> </w:t>
                              </w:r>
                              <w:r w:rsidR="00F8640E">
                                <w:rPr>
                                  <w:rFonts w:ascii="Verdana" w:hAnsi="Verdana"/>
                                  <w:sz w:val="20"/>
                                  <w:szCs w:val="20"/>
                                </w:rPr>
                                <w:t>02</w:t>
                              </w:r>
                              <w:r w:rsidRPr="00284759">
                                <w:rPr>
                                  <w:rFonts w:ascii="Verdana" w:hAnsi="Verdana"/>
                                  <w:sz w:val="20"/>
                                  <w:szCs w:val="20"/>
                                </w:rPr>
                                <w:t xml:space="preserve">00 - 601 </w:t>
                              </w:r>
                              <w:r w:rsidR="00F8640E">
                                <w:rPr>
                                  <w:rFonts w:ascii="Verdana" w:hAnsi="Verdana"/>
                                  <w:sz w:val="20"/>
                                  <w:szCs w:val="20"/>
                                </w:rPr>
                                <w:t>594</w:t>
                              </w:r>
                              <w:r w:rsidRPr="00284759">
                                <w:rPr>
                                  <w:rFonts w:ascii="Verdana" w:hAnsi="Verdana"/>
                                  <w:sz w:val="20"/>
                                  <w:szCs w:val="20"/>
                                </w:rPr>
                                <w:t xml:space="preserve"> </w:t>
                              </w:r>
                              <w:r w:rsidR="00F8640E">
                                <w:rPr>
                                  <w:rFonts w:ascii="Verdana" w:hAnsi="Verdana"/>
                                  <w:sz w:val="20"/>
                                  <w:szCs w:val="20"/>
                                </w:rPr>
                                <w:t>0201</w:t>
                              </w:r>
                            </w:p>
                            <w:p w14:paraId="3F743D65" w14:textId="56361C4F" w:rsidR="00D34D20" w:rsidRPr="00284759" w:rsidRDefault="00F8640E" w:rsidP="00F8640E">
                              <w:pPr>
                                <w:spacing w:line="276" w:lineRule="auto"/>
                                <w:jc w:val="both"/>
                                <w:rPr>
                                  <w:rFonts w:ascii="Verdana" w:hAnsi="Verdana"/>
                                  <w:sz w:val="20"/>
                                  <w:szCs w:val="20"/>
                                </w:rPr>
                              </w:pPr>
                              <w:r w:rsidRPr="00F8640E">
                                <w:rPr>
                                  <w:rFonts w:ascii="Verdana" w:hAnsi="Verdana"/>
                                  <w:sz w:val="20"/>
                                  <w:szCs w:val="20"/>
                                </w:rPr>
                                <w:t>www.superfinanciera.gov.co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5F12B" id="_x0000_t202" coordsize="21600,21600" o:spt="202" path="m,l,21600r21600,l21600,xe">
                  <v:stroke joinstyle="miter"/>
                  <v:path gradientshapeok="t" o:connecttype="rect"/>
                </v:shapetype>
                <v:shape id="Cuadro de texto 1" o:spid="_x0000_s1026" type="#_x0000_t202" style="position:absolute;left:0;text-align:left;margin-left:-7.55pt;margin-top:-19.35pt;width:474pt;height:96.8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" filled="f" stroked="f" strokeweight=".5pt">
                  <v:textbox>
                    <w:txbxContent>
                      <w:p w14:paraId="79D92C5A" w14:textId="296032C4"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r w:rsidR="00160630">
                          <w:rPr>
                            <w:rFonts w:ascii="Helvetica" w:hAnsi="Helvetica"/>
                            <w:sz w:val="20"/>
                            <w:szCs w:val="20"/>
                          </w:rPr>
                          <w:t>________</w:t>
                        </w:r>
                      </w:p>
                      <w:p w14:paraId="36776589" w14:textId="77777777" w:rsidR="00160630" w:rsidRPr="00160630" w:rsidRDefault="00160630" w:rsidP="00D34D20">
                        <w:pPr>
                          <w:spacing w:line="276" w:lineRule="auto"/>
                          <w:jc w:val="both"/>
                          <w:rPr>
                            <w:rFonts w:ascii="Verdana" w:hAnsi="Verdana"/>
                            <w:sz w:val="4"/>
                            <w:szCs w:val="4"/>
                          </w:rPr>
                        </w:pPr>
                      </w:p>
                      <w:p w14:paraId="3453229D" w14:textId="7B84F351" w:rsidR="00D34D20" w:rsidRPr="00284759" w:rsidRDefault="00D34D20" w:rsidP="00D34D20">
                        <w:pPr>
                          <w:spacing w:line="276" w:lineRule="auto"/>
                          <w:jc w:val="both"/>
                          <w:rPr>
                            <w:rFonts w:ascii="Verdana" w:hAnsi="Verdana"/>
                            <w:sz w:val="20"/>
                            <w:szCs w:val="20"/>
                          </w:rPr>
                        </w:pPr>
                        <w:r w:rsidRPr="00284759">
                          <w:rPr>
                            <w:rFonts w:ascii="Verdana" w:hAnsi="Verdana"/>
                            <w:sz w:val="20"/>
                            <w:szCs w:val="20"/>
                          </w:rPr>
                          <w:t xml:space="preserve">Dirección: </w:t>
                        </w:r>
                        <w:r w:rsidR="00F8640E" w:rsidRPr="00AA1AA8">
                          <w:rPr>
                            <w:rFonts w:ascii="Verdana" w:hAnsi="Verdana" w:cs="Arial"/>
                            <w:bCs/>
                            <w:sz w:val="20"/>
                            <w:szCs w:val="20"/>
                            <w:lang w:val="es-MX"/>
                          </w:rPr>
                          <w:t xml:space="preserve">Calle 7 No. 4 - 49  </w:t>
                        </w:r>
                        <w:r w:rsidRPr="00284759">
                          <w:rPr>
                            <w:rFonts w:ascii="Verdana" w:hAnsi="Verdana"/>
                            <w:sz w:val="20"/>
                            <w:szCs w:val="20"/>
                          </w:rPr>
                          <w:t>Bogotá D.C., Colombia</w:t>
                        </w:r>
                      </w:p>
                      <w:p w14:paraId="7463B94C" w14:textId="76A5C288" w:rsidR="00D34D20" w:rsidRPr="00284759" w:rsidRDefault="00D34D20" w:rsidP="00D34D20">
                        <w:pPr>
                          <w:spacing w:line="276" w:lineRule="auto"/>
                          <w:jc w:val="both"/>
                          <w:rPr>
                            <w:rFonts w:ascii="Verdana" w:hAnsi="Verdana"/>
                            <w:sz w:val="20"/>
                            <w:szCs w:val="20"/>
                          </w:rPr>
                        </w:pPr>
                        <w:r w:rsidRPr="00284759">
                          <w:rPr>
                            <w:rFonts w:ascii="Verdana" w:hAnsi="Verdana"/>
                            <w:sz w:val="20"/>
                            <w:szCs w:val="20"/>
                          </w:rPr>
                          <w:t>Conmutador: (+57) 601 5</w:t>
                        </w:r>
                        <w:r w:rsidR="00F8640E">
                          <w:rPr>
                            <w:rFonts w:ascii="Verdana" w:hAnsi="Verdana"/>
                            <w:sz w:val="20"/>
                            <w:szCs w:val="20"/>
                          </w:rPr>
                          <w:t>94</w:t>
                        </w:r>
                        <w:r w:rsidRPr="00284759">
                          <w:rPr>
                            <w:rFonts w:ascii="Verdana" w:hAnsi="Verdana"/>
                            <w:sz w:val="20"/>
                            <w:szCs w:val="20"/>
                          </w:rPr>
                          <w:t xml:space="preserve"> </w:t>
                        </w:r>
                        <w:r w:rsidR="00F8640E">
                          <w:rPr>
                            <w:rFonts w:ascii="Verdana" w:hAnsi="Verdana"/>
                            <w:sz w:val="20"/>
                            <w:szCs w:val="20"/>
                          </w:rPr>
                          <w:t>02</w:t>
                        </w:r>
                        <w:r w:rsidRPr="00284759">
                          <w:rPr>
                            <w:rFonts w:ascii="Verdana" w:hAnsi="Verdana"/>
                            <w:sz w:val="20"/>
                            <w:szCs w:val="20"/>
                          </w:rPr>
                          <w:t xml:space="preserve">00 - 601 </w:t>
                        </w:r>
                        <w:r w:rsidR="00F8640E">
                          <w:rPr>
                            <w:rFonts w:ascii="Verdana" w:hAnsi="Verdana"/>
                            <w:sz w:val="20"/>
                            <w:szCs w:val="20"/>
                          </w:rPr>
                          <w:t>594</w:t>
                        </w:r>
                        <w:r w:rsidRPr="00284759">
                          <w:rPr>
                            <w:rFonts w:ascii="Verdana" w:hAnsi="Verdana"/>
                            <w:sz w:val="20"/>
                            <w:szCs w:val="20"/>
                          </w:rPr>
                          <w:t xml:space="preserve"> </w:t>
                        </w:r>
                        <w:r w:rsidR="00F8640E">
                          <w:rPr>
                            <w:rFonts w:ascii="Verdana" w:hAnsi="Verdana"/>
                            <w:sz w:val="20"/>
                            <w:szCs w:val="20"/>
                          </w:rPr>
                          <w:t>0201</w:t>
                        </w:r>
                      </w:p>
                      <w:p w14:paraId="3F743D65" w14:textId="56361C4F" w:rsidR="00D34D20" w:rsidRPr="00284759" w:rsidRDefault="00F8640E" w:rsidP="00F8640E">
                        <w:pPr>
                          <w:spacing w:line="276" w:lineRule="auto"/>
                          <w:jc w:val="both"/>
                          <w:rPr>
                            <w:rFonts w:ascii="Verdana" w:hAnsi="Verdana"/>
                            <w:sz w:val="20"/>
                            <w:szCs w:val="20"/>
                          </w:rPr>
                        </w:pPr>
                        <w:r w:rsidRPr="00F8640E">
                          <w:rPr>
                            <w:rFonts w:ascii="Verdana" w:hAnsi="Verdana"/>
                            <w:sz w:val="20"/>
                            <w:szCs w:val="20"/>
                          </w:rPr>
                          <w:t>www.superfinanciera.gov.co</w:t>
                        </w:r>
                      </w:p>
                    </w:txbxContent>
                  </v:textbox>
                  <w10:wrap anchorx="margin"/>
                </v:shape>
              </w:pict>
            </mc:Fallback>
          </mc:AlternateContent>
        </w:r>
        <w:r w:rsidRPr="00160630">
          <w:rPr>
            <w:rFonts w:ascii="Verdana" w:hAnsi="Verdana"/>
            <w:lang w:val="es-ES"/>
          </w:rPr>
          <w:t xml:space="preserve">Página | </w:t>
        </w:r>
        <w:r w:rsidRPr="00160630">
          <w:rPr>
            <w:rFonts w:ascii="Verdana" w:hAnsi="Verdana"/>
          </w:rPr>
          <w:fldChar w:fldCharType="begin"/>
        </w:r>
        <w:r w:rsidRPr="00160630">
          <w:rPr>
            <w:rFonts w:ascii="Verdana" w:hAnsi="Verdana"/>
          </w:rPr>
          <w:instrText>PAGE   \* MERGEFORMAT</w:instrText>
        </w:r>
        <w:r w:rsidRPr="00160630">
          <w:rPr>
            <w:rFonts w:ascii="Verdana" w:hAnsi="Verdana"/>
          </w:rPr>
          <w:fldChar w:fldCharType="separate"/>
        </w:r>
        <w:r w:rsidR="00284759" w:rsidRPr="00160630">
          <w:rPr>
            <w:rFonts w:ascii="Verdana" w:hAnsi="Verdana"/>
            <w:noProof/>
            <w:lang w:val="es-ES"/>
          </w:rPr>
          <w:t>1</w:t>
        </w:r>
        <w:r w:rsidRPr="00160630">
          <w:rPr>
            <w:rFonts w:ascii="Verdana" w:hAnsi="Verdana"/>
          </w:rPr>
          <w:fldChar w:fldCharType="end"/>
        </w:r>
        <w:r w:rsidRPr="00160630">
          <w:rPr>
            <w:rFonts w:ascii="Verdana" w:hAnsi="Verdana"/>
            <w:lang w:val="es-ES"/>
          </w:rPr>
          <w:t xml:space="preserve"> </w:t>
        </w:r>
      </w:p>
    </w:sdtContent>
  </w:sdt>
  <w:p w14:paraId="409F4B9A" w14:textId="79830460" w:rsidR="00D34D20" w:rsidRPr="00D34D20" w:rsidRDefault="00D34D20" w:rsidP="00D34D20">
    <w:pPr>
      <w:spacing w:line="276" w:lineRule="auto"/>
      <w:jc w:val="both"/>
      <w:rPr>
        <w:rFonts w:ascii="Helvetica" w:hAnsi="Helveti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F7BAF" w14:textId="77777777" w:rsidR="00EA6042" w:rsidRDefault="00EA6042" w:rsidP="00757B36">
      <w:r>
        <w:separator/>
      </w:r>
    </w:p>
  </w:footnote>
  <w:footnote w:type="continuationSeparator" w:id="0">
    <w:p w14:paraId="4CD18F8C" w14:textId="77777777" w:rsidR="00EA6042" w:rsidRDefault="00EA6042" w:rsidP="00757B36">
      <w:r>
        <w:continuationSeparator/>
      </w:r>
    </w:p>
  </w:footnote>
  <w:footnote w:type="continuationNotice" w:id="1">
    <w:p w14:paraId="3251035C" w14:textId="77777777" w:rsidR="00EA6042" w:rsidRDefault="00EA60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CE25" w14:textId="5E00CE8F" w:rsidR="00757B36" w:rsidRDefault="00F21117" w:rsidP="009574F0">
    <w:pPr>
      <w:pStyle w:val="Encabezado"/>
      <w:jc w:val="center"/>
    </w:pPr>
    <w:r>
      <w:rPr>
        <w:noProof/>
      </w:rPr>
      <w:drawing>
        <wp:inline distT="0" distB="0" distL="0" distR="0" wp14:anchorId="60013756" wp14:editId="277F295D">
          <wp:extent cx="1912620" cy="838683"/>
          <wp:effectExtent l="0" t="0" r="0" b="0"/>
          <wp:docPr id="29210434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104347"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914044" cy="839307"/>
                  </a:xfrm>
                  <a:prstGeom prst="rect">
                    <a:avLst/>
                  </a:prstGeom>
                </pic:spPr>
              </pic:pic>
            </a:graphicData>
          </a:graphic>
        </wp:inline>
      </w:drawing>
    </w:r>
  </w:p>
  <w:p w14:paraId="372EA905" w14:textId="77777777" w:rsidR="00F21117" w:rsidRDefault="00F21117">
    <w:pPr>
      <w:pStyle w:val="Encabezado"/>
    </w:pPr>
  </w:p>
  <w:p w14:paraId="50C149E0" w14:textId="77777777" w:rsidR="00F21117" w:rsidRDefault="00F211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8B4991"/>
    <w:multiLevelType w:val="multilevel"/>
    <w:tmpl w:val="6D62ADF2"/>
    <w:lvl w:ilvl="0">
      <w:start w:val="1"/>
      <w:numFmt w:val="decimal"/>
      <w:lvlText w:val="%1."/>
      <w:lvlJc w:val="left"/>
      <w:pPr>
        <w:ind w:left="440" w:hanging="440"/>
      </w:pPr>
      <w:rPr>
        <w:rFonts w:hint="default"/>
      </w:rPr>
    </w:lvl>
    <w:lvl w:ilvl="1">
      <w:start w:val="1"/>
      <w:numFmt w:val="decimal"/>
      <w:lvlText w:val="%1.%2."/>
      <w:lvlJc w:val="left"/>
      <w:pPr>
        <w:ind w:left="720" w:hanging="720"/>
      </w:pPr>
      <w:rPr>
        <w:rFonts w:ascii="Verdana" w:hAnsi="Verdana"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10681E6B"/>
    <w:multiLevelType w:val="multilevel"/>
    <w:tmpl w:val="413C295E"/>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3026532B"/>
    <w:multiLevelType w:val="hybridMultilevel"/>
    <w:tmpl w:val="B4EAFB7E"/>
    <w:lvl w:ilvl="0" w:tplc="A98E25C0">
      <w:start w:val="2"/>
      <w:numFmt w:val="bullet"/>
      <w:lvlText w:val=""/>
      <w:lvlJc w:val="left"/>
      <w:pPr>
        <w:ind w:left="720" w:hanging="360"/>
      </w:pPr>
      <w:rPr>
        <w:rFonts w:ascii="Symbol" w:eastAsia="MS Mincho"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25E7112"/>
    <w:multiLevelType w:val="hybridMultilevel"/>
    <w:tmpl w:val="1A6CF2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45A1E60"/>
    <w:multiLevelType w:val="hybridMultilevel"/>
    <w:tmpl w:val="DDC0CFB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6D1815"/>
    <w:multiLevelType w:val="hybridMultilevel"/>
    <w:tmpl w:val="900C8C12"/>
    <w:lvl w:ilvl="0" w:tplc="240A000F">
      <w:start w:val="1"/>
      <w:numFmt w:val="decimal"/>
      <w:lvlText w:val="%1."/>
      <w:lvlJc w:val="left"/>
      <w:pPr>
        <w:ind w:left="36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9F726F4"/>
    <w:multiLevelType w:val="multilevel"/>
    <w:tmpl w:val="0EB6BF0C"/>
    <w:lvl w:ilvl="0">
      <w:start w:val="10"/>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8" w15:restartNumberingAfterBreak="0">
    <w:nsid w:val="64EB55AF"/>
    <w:multiLevelType w:val="hybridMultilevel"/>
    <w:tmpl w:val="16283B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72B774D"/>
    <w:multiLevelType w:val="multilevel"/>
    <w:tmpl w:val="3176FEC0"/>
    <w:lvl w:ilvl="0">
      <w:start w:val="9"/>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271623107">
    <w:abstractNumId w:val="0"/>
  </w:num>
  <w:num w:numId="2" w16cid:durableId="1267955949">
    <w:abstractNumId w:val="9"/>
  </w:num>
  <w:num w:numId="3" w16cid:durableId="1702320300">
    <w:abstractNumId w:val="7"/>
  </w:num>
  <w:num w:numId="4" w16cid:durableId="712343061">
    <w:abstractNumId w:val="2"/>
  </w:num>
  <w:num w:numId="5" w16cid:durableId="625310660">
    <w:abstractNumId w:val="3"/>
  </w:num>
  <w:num w:numId="6" w16cid:durableId="1133980967">
    <w:abstractNumId w:val="1"/>
  </w:num>
  <w:num w:numId="7" w16cid:durableId="697463518">
    <w:abstractNumId w:val="5"/>
  </w:num>
  <w:num w:numId="8" w16cid:durableId="2109110767">
    <w:abstractNumId w:val="8"/>
  </w:num>
  <w:num w:numId="9" w16cid:durableId="332683293">
    <w:abstractNumId w:val="4"/>
  </w:num>
  <w:num w:numId="10" w16cid:durableId="139561676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ntiago Guerrero Sabogal">
    <w15:presenceInfo w15:providerId="AD" w15:userId="S::saguerrero@superfinanciera.gov.co::568a886a-2b7f-4db5-b66c-d019954903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B36"/>
    <w:rsid w:val="00001475"/>
    <w:rsid w:val="00003771"/>
    <w:rsid w:val="000044B1"/>
    <w:rsid w:val="00004D3A"/>
    <w:rsid w:val="000065DE"/>
    <w:rsid w:val="00007874"/>
    <w:rsid w:val="0000792E"/>
    <w:rsid w:val="0000794F"/>
    <w:rsid w:val="00010698"/>
    <w:rsid w:val="00010E83"/>
    <w:rsid w:val="00011F9D"/>
    <w:rsid w:val="00012723"/>
    <w:rsid w:val="00012D69"/>
    <w:rsid w:val="00012E59"/>
    <w:rsid w:val="00013727"/>
    <w:rsid w:val="00013F4A"/>
    <w:rsid w:val="000141F1"/>
    <w:rsid w:val="0001537B"/>
    <w:rsid w:val="000156D9"/>
    <w:rsid w:val="00015F39"/>
    <w:rsid w:val="00015F9E"/>
    <w:rsid w:val="00016762"/>
    <w:rsid w:val="00016FF3"/>
    <w:rsid w:val="0001792D"/>
    <w:rsid w:val="000204B0"/>
    <w:rsid w:val="0002089F"/>
    <w:rsid w:val="00021B76"/>
    <w:rsid w:val="00021C3A"/>
    <w:rsid w:val="000224C8"/>
    <w:rsid w:val="00022E82"/>
    <w:rsid w:val="000235EB"/>
    <w:rsid w:val="00025011"/>
    <w:rsid w:val="0002555D"/>
    <w:rsid w:val="00025BA5"/>
    <w:rsid w:val="000261AC"/>
    <w:rsid w:val="00026857"/>
    <w:rsid w:val="000278CB"/>
    <w:rsid w:val="00030662"/>
    <w:rsid w:val="000308B0"/>
    <w:rsid w:val="00030FFF"/>
    <w:rsid w:val="00032796"/>
    <w:rsid w:val="00032B20"/>
    <w:rsid w:val="00032F4E"/>
    <w:rsid w:val="0003510D"/>
    <w:rsid w:val="00035168"/>
    <w:rsid w:val="0003670C"/>
    <w:rsid w:val="00040161"/>
    <w:rsid w:val="00041324"/>
    <w:rsid w:val="00041BB8"/>
    <w:rsid w:val="00042D53"/>
    <w:rsid w:val="000435B5"/>
    <w:rsid w:val="00043CF1"/>
    <w:rsid w:val="00045A95"/>
    <w:rsid w:val="000474E5"/>
    <w:rsid w:val="0005078A"/>
    <w:rsid w:val="000519EE"/>
    <w:rsid w:val="00052407"/>
    <w:rsid w:val="000529BE"/>
    <w:rsid w:val="00053CB2"/>
    <w:rsid w:val="00054CC7"/>
    <w:rsid w:val="00055B95"/>
    <w:rsid w:val="000579B4"/>
    <w:rsid w:val="00057C29"/>
    <w:rsid w:val="00061314"/>
    <w:rsid w:val="00063584"/>
    <w:rsid w:val="00064A4F"/>
    <w:rsid w:val="00064B26"/>
    <w:rsid w:val="00065E74"/>
    <w:rsid w:val="000661A1"/>
    <w:rsid w:val="00066D8D"/>
    <w:rsid w:val="000672A5"/>
    <w:rsid w:val="00071256"/>
    <w:rsid w:val="000714B5"/>
    <w:rsid w:val="0007176D"/>
    <w:rsid w:val="00071831"/>
    <w:rsid w:val="000733E0"/>
    <w:rsid w:val="00073C52"/>
    <w:rsid w:val="00073DC2"/>
    <w:rsid w:val="00074F88"/>
    <w:rsid w:val="00075C0F"/>
    <w:rsid w:val="00075DE0"/>
    <w:rsid w:val="00076105"/>
    <w:rsid w:val="000764D0"/>
    <w:rsid w:val="00076A88"/>
    <w:rsid w:val="000771A0"/>
    <w:rsid w:val="00077A82"/>
    <w:rsid w:val="00081A37"/>
    <w:rsid w:val="00081E51"/>
    <w:rsid w:val="00082C72"/>
    <w:rsid w:val="00082FBE"/>
    <w:rsid w:val="00085B55"/>
    <w:rsid w:val="000869C1"/>
    <w:rsid w:val="00086F88"/>
    <w:rsid w:val="00087A7F"/>
    <w:rsid w:val="00090C92"/>
    <w:rsid w:val="0009113C"/>
    <w:rsid w:val="00091751"/>
    <w:rsid w:val="00091EC6"/>
    <w:rsid w:val="00091F4D"/>
    <w:rsid w:val="00092345"/>
    <w:rsid w:val="000924F8"/>
    <w:rsid w:val="00094ECF"/>
    <w:rsid w:val="00095B54"/>
    <w:rsid w:val="00096CA7"/>
    <w:rsid w:val="00096F7D"/>
    <w:rsid w:val="0009707F"/>
    <w:rsid w:val="00097E9E"/>
    <w:rsid w:val="000A039F"/>
    <w:rsid w:val="000A0E08"/>
    <w:rsid w:val="000A14B1"/>
    <w:rsid w:val="000A2543"/>
    <w:rsid w:val="000A2ABC"/>
    <w:rsid w:val="000A361C"/>
    <w:rsid w:val="000A47CE"/>
    <w:rsid w:val="000A6B4D"/>
    <w:rsid w:val="000A6C91"/>
    <w:rsid w:val="000A6E7B"/>
    <w:rsid w:val="000A7A43"/>
    <w:rsid w:val="000B0028"/>
    <w:rsid w:val="000B1134"/>
    <w:rsid w:val="000B1B0D"/>
    <w:rsid w:val="000B1CDA"/>
    <w:rsid w:val="000B2489"/>
    <w:rsid w:val="000B2FF1"/>
    <w:rsid w:val="000B3298"/>
    <w:rsid w:val="000B4807"/>
    <w:rsid w:val="000B4D6A"/>
    <w:rsid w:val="000B52D5"/>
    <w:rsid w:val="000B55F8"/>
    <w:rsid w:val="000B5787"/>
    <w:rsid w:val="000B63DC"/>
    <w:rsid w:val="000C0599"/>
    <w:rsid w:val="000C1D74"/>
    <w:rsid w:val="000C224C"/>
    <w:rsid w:val="000C23CC"/>
    <w:rsid w:val="000C26BF"/>
    <w:rsid w:val="000C2B12"/>
    <w:rsid w:val="000C2EDE"/>
    <w:rsid w:val="000C2FA6"/>
    <w:rsid w:val="000C359C"/>
    <w:rsid w:val="000C4E87"/>
    <w:rsid w:val="000C4F50"/>
    <w:rsid w:val="000C5784"/>
    <w:rsid w:val="000C6385"/>
    <w:rsid w:val="000D04FA"/>
    <w:rsid w:val="000D06A8"/>
    <w:rsid w:val="000D0F1B"/>
    <w:rsid w:val="000D2590"/>
    <w:rsid w:val="000D25EA"/>
    <w:rsid w:val="000D2C23"/>
    <w:rsid w:val="000D38C6"/>
    <w:rsid w:val="000D5B07"/>
    <w:rsid w:val="000D69C6"/>
    <w:rsid w:val="000E0906"/>
    <w:rsid w:val="000E20BF"/>
    <w:rsid w:val="000E259F"/>
    <w:rsid w:val="000E28C2"/>
    <w:rsid w:val="000E4228"/>
    <w:rsid w:val="000E6070"/>
    <w:rsid w:val="000E6772"/>
    <w:rsid w:val="000E6EC5"/>
    <w:rsid w:val="000E783F"/>
    <w:rsid w:val="000F04B1"/>
    <w:rsid w:val="000F0658"/>
    <w:rsid w:val="000F1B1F"/>
    <w:rsid w:val="000F1F29"/>
    <w:rsid w:val="000F1F97"/>
    <w:rsid w:val="000F2E4A"/>
    <w:rsid w:val="000F317E"/>
    <w:rsid w:val="000F3472"/>
    <w:rsid w:val="000F494B"/>
    <w:rsid w:val="000F6D7C"/>
    <w:rsid w:val="00100725"/>
    <w:rsid w:val="00100C0C"/>
    <w:rsid w:val="0010184C"/>
    <w:rsid w:val="00103049"/>
    <w:rsid w:val="00103E13"/>
    <w:rsid w:val="0010415F"/>
    <w:rsid w:val="001045A8"/>
    <w:rsid w:val="00104E29"/>
    <w:rsid w:val="00104FBD"/>
    <w:rsid w:val="00107524"/>
    <w:rsid w:val="0010772F"/>
    <w:rsid w:val="0010790A"/>
    <w:rsid w:val="001104C2"/>
    <w:rsid w:val="00110577"/>
    <w:rsid w:val="00112B7E"/>
    <w:rsid w:val="001130E9"/>
    <w:rsid w:val="00114A9A"/>
    <w:rsid w:val="00115771"/>
    <w:rsid w:val="00115F53"/>
    <w:rsid w:val="001164B9"/>
    <w:rsid w:val="00116B3F"/>
    <w:rsid w:val="00116CB3"/>
    <w:rsid w:val="00117509"/>
    <w:rsid w:val="00117E51"/>
    <w:rsid w:val="001201F0"/>
    <w:rsid w:val="00120BC2"/>
    <w:rsid w:val="001222BD"/>
    <w:rsid w:val="00122E13"/>
    <w:rsid w:val="00123709"/>
    <w:rsid w:val="00124C85"/>
    <w:rsid w:val="001255F4"/>
    <w:rsid w:val="00126AD7"/>
    <w:rsid w:val="00126D96"/>
    <w:rsid w:val="0012713F"/>
    <w:rsid w:val="00127410"/>
    <w:rsid w:val="001305F4"/>
    <w:rsid w:val="00131567"/>
    <w:rsid w:val="00131AC8"/>
    <w:rsid w:val="00132064"/>
    <w:rsid w:val="0013282B"/>
    <w:rsid w:val="00133B05"/>
    <w:rsid w:val="00134D85"/>
    <w:rsid w:val="00135466"/>
    <w:rsid w:val="0013564E"/>
    <w:rsid w:val="0013607A"/>
    <w:rsid w:val="00137F1E"/>
    <w:rsid w:val="00140DD0"/>
    <w:rsid w:val="00141642"/>
    <w:rsid w:val="00142B5C"/>
    <w:rsid w:val="001438D2"/>
    <w:rsid w:val="00144C3B"/>
    <w:rsid w:val="001465DD"/>
    <w:rsid w:val="00146BD6"/>
    <w:rsid w:val="00146F37"/>
    <w:rsid w:val="00150075"/>
    <w:rsid w:val="001514EB"/>
    <w:rsid w:val="001516CC"/>
    <w:rsid w:val="00152C7E"/>
    <w:rsid w:val="0015390F"/>
    <w:rsid w:val="00153CD4"/>
    <w:rsid w:val="00154B1F"/>
    <w:rsid w:val="0015564E"/>
    <w:rsid w:val="001573C8"/>
    <w:rsid w:val="001579EF"/>
    <w:rsid w:val="00157B90"/>
    <w:rsid w:val="00157C44"/>
    <w:rsid w:val="00160630"/>
    <w:rsid w:val="00160F84"/>
    <w:rsid w:val="001614AD"/>
    <w:rsid w:val="00161D60"/>
    <w:rsid w:val="00162617"/>
    <w:rsid w:val="0016353C"/>
    <w:rsid w:val="00164004"/>
    <w:rsid w:val="00164E7C"/>
    <w:rsid w:val="001655D2"/>
    <w:rsid w:val="001658BC"/>
    <w:rsid w:val="00166244"/>
    <w:rsid w:val="0016790C"/>
    <w:rsid w:val="00171C34"/>
    <w:rsid w:val="001728C7"/>
    <w:rsid w:val="001741FA"/>
    <w:rsid w:val="0017503C"/>
    <w:rsid w:val="001770AA"/>
    <w:rsid w:val="00177E71"/>
    <w:rsid w:val="001817FE"/>
    <w:rsid w:val="00181D10"/>
    <w:rsid w:val="001832C6"/>
    <w:rsid w:val="00184206"/>
    <w:rsid w:val="00184285"/>
    <w:rsid w:val="00184C03"/>
    <w:rsid w:val="001855E9"/>
    <w:rsid w:val="00185E9E"/>
    <w:rsid w:val="0018769D"/>
    <w:rsid w:val="0019001B"/>
    <w:rsid w:val="001903E6"/>
    <w:rsid w:val="00190C2C"/>
    <w:rsid w:val="001913ED"/>
    <w:rsid w:val="0019356D"/>
    <w:rsid w:val="001968D3"/>
    <w:rsid w:val="00196E03"/>
    <w:rsid w:val="00197BC5"/>
    <w:rsid w:val="001A070B"/>
    <w:rsid w:val="001A0A37"/>
    <w:rsid w:val="001A0C56"/>
    <w:rsid w:val="001A15C5"/>
    <w:rsid w:val="001A26FB"/>
    <w:rsid w:val="001A3870"/>
    <w:rsid w:val="001A3E30"/>
    <w:rsid w:val="001A442F"/>
    <w:rsid w:val="001A4E48"/>
    <w:rsid w:val="001A574E"/>
    <w:rsid w:val="001A5BBE"/>
    <w:rsid w:val="001A6DE2"/>
    <w:rsid w:val="001A7A19"/>
    <w:rsid w:val="001B1D1D"/>
    <w:rsid w:val="001B286E"/>
    <w:rsid w:val="001B37D1"/>
    <w:rsid w:val="001B44D9"/>
    <w:rsid w:val="001B4643"/>
    <w:rsid w:val="001B4B4B"/>
    <w:rsid w:val="001B665F"/>
    <w:rsid w:val="001B6A1D"/>
    <w:rsid w:val="001B6BC8"/>
    <w:rsid w:val="001C00C5"/>
    <w:rsid w:val="001C05A9"/>
    <w:rsid w:val="001C0750"/>
    <w:rsid w:val="001C0B87"/>
    <w:rsid w:val="001C19D6"/>
    <w:rsid w:val="001C231F"/>
    <w:rsid w:val="001C2908"/>
    <w:rsid w:val="001C3061"/>
    <w:rsid w:val="001C5005"/>
    <w:rsid w:val="001C6F7C"/>
    <w:rsid w:val="001D1979"/>
    <w:rsid w:val="001D1FF9"/>
    <w:rsid w:val="001D36FE"/>
    <w:rsid w:val="001D418B"/>
    <w:rsid w:val="001D5291"/>
    <w:rsid w:val="001D7554"/>
    <w:rsid w:val="001E0080"/>
    <w:rsid w:val="001E16AD"/>
    <w:rsid w:val="001E39DF"/>
    <w:rsid w:val="001E510C"/>
    <w:rsid w:val="001E628D"/>
    <w:rsid w:val="001E7310"/>
    <w:rsid w:val="001E761C"/>
    <w:rsid w:val="001F08CA"/>
    <w:rsid w:val="001F2FEA"/>
    <w:rsid w:val="001F3914"/>
    <w:rsid w:val="001F5B6D"/>
    <w:rsid w:val="001F5FB1"/>
    <w:rsid w:val="001F6D51"/>
    <w:rsid w:val="001F72C4"/>
    <w:rsid w:val="001F7AF3"/>
    <w:rsid w:val="002007C3"/>
    <w:rsid w:val="00200B7E"/>
    <w:rsid w:val="00200F80"/>
    <w:rsid w:val="00201D7D"/>
    <w:rsid w:val="00202717"/>
    <w:rsid w:val="002029F3"/>
    <w:rsid w:val="00202B55"/>
    <w:rsid w:val="00203234"/>
    <w:rsid w:val="00203FEC"/>
    <w:rsid w:val="0020535E"/>
    <w:rsid w:val="00207C40"/>
    <w:rsid w:val="002119DB"/>
    <w:rsid w:val="00212610"/>
    <w:rsid w:val="00212C1E"/>
    <w:rsid w:val="002134D6"/>
    <w:rsid w:val="00215200"/>
    <w:rsid w:val="0021537D"/>
    <w:rsid w:val="002153E0"/>
    <w:rsid w:val="00217B90"/>
    <w:rsid w:val="00220BF8"/>
    <w:rsid w:val="00221969"/>
    <w:rsid w:val="00221BD8"/>
    <w:rsid w:val="00221BE7"/>
    <w:rsid w:val="00223478"/>
    <w:rsid w:val="00225939"/>
    <w:rsid w:val="0022632D"/>
    <w:rsid w:val="00227F7D"/>
    <w:rsid w:val="00230781"/>
    <w:rsid w:val="00230A06"/>
    <w:rsid w:val="00230E6D"/>
    <w:rsid w:val="002318D5"/>
    <w:rsid w:val="00234471"/>
    <w:rsid w:val="0023522F"/>
    <w:rsid w:val="0023557A"/>
    <w:rsid w:val="00235AE6"/>
    <w:rsid w:val="00235E4C"/>
    <w:rsid w:val="002378BA"/>
    <w:rsid w:val="00240634"/>
    <w:rsid w:val="0024105A"/>
    <w:rsid w:val="0024134A"/>
    <w:rsid w:val="002422C5"/>
    <w:rsid w:val="0024275C"/>
    <w:rsid w:val="00242AE0"/>
    <w:rsid w:val="00243CFD"/>
    <w:rsid w:val="00245A19"/>
    <w:rsid w:val="00247258"/>
    <w:rsid w:val="0025049C"/>
    <w:rsid w:val="002510B1"/>
    <w:rsid w:val="0025113D"/>
    <w:rsid w:val="0025176D"/>
    <w:rsid w:val="00252641"/>
    <w:rsid w:val="00252FCD"/>
    <w:rsid w:val="0025410D"/>
    <w:rsid w:val="00255542"/>
    <w:rsid w:val="00256076"/>
    <w:rsid w:val="00256928"/>
    <w:rsid w:val="00256D30"/>
    <w:rsid w:val="00260A49"/>
    <w:rsid w:val="00260AB5"/>
    <w:rsid w:val="002624A7"/>
    <w:rsid w:val="00262584"/>
    <w:rsid w:val="0026374D"/>
    <w:rsid w:val="002637E4"/>
    <w:rsid w:val="002646EA"/>
    <w:rsid w:val="00264FD0"/>
    <w:rsid w:val="0026580A"/>
    <w:rsid w:val="00266D20"/>
    <w:rsid w:val="00266E17"/>
    <w:rsid w:val="00267347"/>
    <w:rsid w:val="00267730"/>
    <w:rsid w:val="002678CA"/>
    <w:rsid w:val="002717B2"/>
    <w:rsid w:val="002729EE"/>
    <w:rsid w:val="00273C4D"/>
    <w:rsid w:val="0027427B"/>
    <w:rsid w:val="00275FA9"/>
    <w:rsid w:val="00276CF8"/>
    <w:rsid w:val="002770C2"/>
    <w:rsid w:val="00277577"/>
    <w:rsid w:val="00277FD4"/>
    <w:rsid w:val="00281518"/>
    <w:rsid w:val="00282323"/>
    <w:rsid w:val="0028247F"/>
    <w:rsid w:val="00282AA2"/>
    <w:rsid w:val="00283054"/>
    <w:rsid w:val="00284134"/>
    <w:rsid w:val="002842FB"/>
    <w:rsid w:val="002843B3"/>
    <w:rsid w:val="00284759"/>
    <w:rsid w:val="00284ECE"/>
    <w:rsid w:val="0028526F"/>
    <w:rsid w:val="00285B10"/>
    <w:rsid w:val="00286F19"/>
    <w:rsid w:val="00287512"/>
    <w:rsid w:val="0028772C"/>
    <w:rsid w:val="002879E7"/>
    <w:rsid w:val="00290AF2"/>
    <w:rsid w:val="00290BE0"/>
    <w:rsid w:val="00291975"/>
    <w:rsid w:val="00291C15"/>
    <w:rsid w:val="00291D76"/>
    <w:rsid w:val="002926FA"/>
    <w:rsid w:val="00292C6B"/>
    <w:rsid w:val="0029337F"/>
    <w:rsid w:val="00293D12"/>
    <w:rsid w:val="002956FC"/>
    <w:rsid w:val="0029646C"/>
    <w:rsid w:val="00297AFA"/>
    <w:rsid w:val="00297CA4"/>
    <w:rsid w:val="002A0591"/>
    <w:rsid w:val="002A156A"/>
    <w:rsid w:val="002A1F85"/>
    <w:rsid w:val="002A205A"/>
    <w:rsid w:val="002A241B"/>
    <w:rsid w:val="002A291D"/>
    <w:rsid w:val="002A2B9D"/>
    <w:rsid w:val="002A3B64"/>
    <w:rsid w:val="002A3E5D"/>
    <w:rsid w:val="002A56D3"/>
    <w:rsid w:val="002A610E"/>
    <w:rsid w:val="002A6C49"/>
    <w:rsid w:val="002A7311"/>
    <w:rsid w:val="002A7CF8"/>
    <w:rsid w:val="002B04A6"/>
    <w:rsid w:val="002B0F00"/>
    <w:rsid w:val="002B14F3"/>
    <w:rsid w:val="002B308B"/>
    <w:rsid w:val="002B600D"/>
    <w:rsid w:val="002B6714"/>
    <w:rsid w:val="002B6B72"/>
    <w:rsid w:val="002B6BF5"/>
    <w:rsid w:val="002B6D80"/>
    <w:rsid w:val="002B7ED6"/>
    <w:rsid w:val="002C1F38"/>
    <w:rsid w:val="002C207E"/>
    <w:rsid w:val="002C3512"/>
    <w:rsid w:val="002C3ABB"/>
    <w:rsid w:val="002C43B6"/>
    <w:rsid w:val="002C4A9A"/>
    <w:rsid w:val="002C53AA"/>
    <w:rsid w:val="002C53E4"/>
    <w:rsid w:val="002C5F08"/>
    <w:rsid w:val="002C5F2A"/>
    <w:rsid w:val="002C63C6"/>
    <w:rsid w:val="002D0A2A"/>
    <w:rsid w:val="002D1CCC"/>
    <w:rsid w:val="002D1F63"/>
    <w:rsid w:val="002D2619"/>
    <w:rsid w:val="002D2C97"/>
    <w:rsid w:val="002D3EB2"/>
    <w:rsid w:val="002D4B88"/>
    <w:rsid w:val="002D6E14"/>
    <w:rsid w:val="002D6E8B"/>
    <w:rsid w:val="002E00C4"/>
    <w:rsid w:val="002E08D3"/>
    <w:rsid w:val="002E0914"/>
    <w:rsid w:val="002E0E03"/>
    <w:rsid w:val="002E0F03"/>
    <w:rsid w:val="002E1146"/>
    <w:rsid w:val="002E222D"/>
    <w:rsid w:val="002E34CA"/>
    <w:rsid w:val="002E4C71"/>
    <w:rsid w:val="002E4DED"/>
    <w:rsid w:val="002E6E8A"/>
    <w:rsid w:val="002F0840"/>
    <w:rsid w:val="002F1A32"/>
    <w:rsid w:val="002F2310"/>
    <w:rsid w:val="002F38D4"/>
    <w:rsid w:val="002F3B96"/>
    <w:rsid w:val="002F3CB1"/>
    <w:rsid w:val="002F4ABA"/>
    <w:rsid w:val="002F4B32"/>
    <w:rsid w:val="002F4DBA"/>
    <w:rsid w:val="002F5315"/>
    <w:rsid w:val="00301BD6"/>
    <w:rsid w:val="0030331E"/>
    <w:rsid w:val="0030452A"/>
    <w:rsid w:val="0030489C"/>
    <w:rsid w:val="00304C8C"/>
    <w:rsid w:val="0030646B"/>
    <w:rsid w:val="00306F77"/>
    <w:rsid w:val="003071D3"/>
    <w:rsid w:val="00307402"/>
    <w:rsid w:val="00307BA6"/>
    <w:rsid w:val="00313C43"/>
    <w:rsid w:val="00314088"/>
    <w:rsid w:val="00314644"/>
    <w:rsid w:val="00314AA7"/>
    <w:rsid w:val="00315359"/>
    <w:rsid w:val="00315DC0"/>
    <w:rsid w:val="00315FEE"/>
    <w:rsid w:val="003210D8"/>
    <w:rsid w:val="003213A6"/>
    <w:rsid w:val="00321EB5"/>
    <w:rsid w:val="003223D7"/>
    <w:rsid w:val="00323AF9"/>
    <w:rsid w:val="00324E3F"/>
    <w:rsid w:val="00325192"/>
    <w:rsid w:val="00330646"/>
    <w:rsid w:val="00330B5A"/>
    <w:rsid w:val="00330C29"/>
    <w:rsid w:val="00330E82"/>
    <w:rsid w:val="00332074"/>
    <w:rsid w:val="00332228"/>
    <w:rsid w:val="00332421"/>
    <w:rsid w:val="00333EFC"/>
    <w:rsid w:val="00334E99"/>
    <w:rsid w:val="00336B66"/>
    <w:rsid w:val="00337591"/>
    <w:rsid w:val="003422DF"/>
    <w:rsid w:val="003426FC"/>
    <w:rsid w:val="003455A7"/>
    <w:rsid w:val="003502B7"/>
    <w:rsid w:val="003523EB"/>
    <w:rsid w:val="00353F95"/>
    <w:rsid w:val="003547E1"/>
    <w:rsid w:val="0035583F"/>
    <w:rsid w:val="0035620C"/>
    <w:rsid w:val="003567C2"/>
    <w:rsid w:val="00360DEC"/>
    <w:rsid w:val="00363A7E"/>
    <w:rsid w:val="0036400A"/>
    <w:rsid w:val="00364B69"/>
    <w:rsid w:val="0036643E"/>
    <w:rsid w:val="0036708C"/>
    <w:rsid w:val="00370487"/>
    <w:rsid w:val="00370C67"/>
    <w:rsid w:val="00371610"/>
    <w:rsid w:val="00372822"/>
    <w:rsid w:val="00372DC3"/>
    <w:rsid w:val="00373281"/>
    <w:rsid w:val="00374E60"/>
    <w:rsid w:val="00376380"/>
    <w:rsid w:val="00377F12"/>
    <w:rsid w:val="00381253"/>
    <w:rsid w:val="003817EA"/>
    <w:rsid w:val="00381897"/>
    <w:rsid w:val="003848FA"/>
    <w:rsid w:val="003849FF"/>
    <w:rsid w:val="00386084"/>
    <w:rsid w:val="00386F6E"/>
    <w:rsid w:val="00387010"/>
    <w:rsid w:val="00387606"/>
    <w:rsid w:val="003905C1"/>
    <w:rsid w:val="00390630"/>
    <w:rsid w:val="0039087D"/>
    <w:rsid w:val="003908AF"/>
    <w:rsid w:val="00391D1B"/>
    <w:rsid w:val="00392783"/>
    <w:rsid w:val="00393D65"/>
    <w:rsid w:val="00397B60"/>
    <w:rsid w:val="003A0019"/>
    <w:rsid w:val="003A116D"/>
    <w:rsid w:val="003A1956"/>
    <w:rsid w:val="003A1F66"/>
    <w:rsid w:val="003A47BA"/>
    <w:rsid w:val="003A5698"/>
    <w:rsid w:val="003A62C0"/>
    <w:rsid w:val="003A6651"/>
    <w:rsid w:val="003A78FA"/>
    <w:rsid w:val="003A7A06"/>
    <w:rsid w:val="003B02C3"/>
    <w:rsid w:val="003B0973"/>
    <w:rsid w:val="003B0B1A"/>
    <w:rsid w:val="003B1CA2"/>
    <w:rsid w:val="003B2EA4"/>
    <w:rsid w:val="003B46CC"/>
    <w:rsid w:val="003B49B5"/>
    <w:rsid w:val="003B6A2B"/>
    <w:rsid w:val="003C06A9"/>
    <w:rsid w:val="003C1C55"/>
    <w:rsid w:val="003C1D92"/>
    <w:rsid w:val="003C217C"/>
    <w:rsid w:val="003C4012"/>
    <w:rsid w:val="003C52C9"/>
    <w:rsid w:val="003C5310"/>
    <w:rsid w:val="003C5930"/>
    <w:rsid w:val="003C6A95"/>
    <w:rsid w:val="003C735A"/>
    <w:rsid w:val="003C7EB1"/>
    <w:rsid w:val="003D3CDE"/>
    <w:rsid w:val="003D6FE2"/>
    <w:rsid w:val="003E0D68"/>
    <w:rsid w:val="003E176F"/>
    <w:rsid w:val="003E2525"/>
    <w:rsid w:val="003E27EC"/>
    <w:rsid w:val="003E2A36"/>
    <w:rsid w:val="003E3024"/>
    <w:rsid w:val="003E3C28"/>
    <w:rsid w:val="003E42C4"/>
    <w:rsid w:val="003E79CB"/>
    <w:rsid w:val="003F2CF8"/>
    <w:rsid w:val="003F33EE"/>
    <w:rsid w:val="003F4161"/>
    <w:rsid w:val="003F49BB"/>
    <w:rsid w:val="003F4AFE"/>
    <w:rsid w:val="003F6D37"/>
    <w:rsid w:val="003F70C8"/>
    <w:rsid w:val="003F7386"/>
    <w:rsid w:val="003F7A0C"/>
    <w:rsid w:val="0040133E"/>
    <w:rsid w:val="00401D94"/>
    <w:rsid w:val="00402AC7"/>
    <w:rsid w:val="00404354"/>
    <w:rsid w:val="0040530E"/>
    <w:rsid w:val="00406714"/>
    <w:rsid w:val="004108E6"/>
    <w:rsid w:val="00411DB6"/>
    <w:rsid w:val="00412190"/>
    <w:rsid w:val="00412191"/>
    <w:rsid w:val="00413FB8"/>
    <w:rsid w:val="00414C9C"/>
    <w:rsid w:val="00414CB3"/>
    <w:rsid w:val="00415602"/>
    <w:rsid w:val="00415D12"/>
    <w:rsid w:val="00416031"/>
    <w:rsid w:val="004162D1"/>
    <w:rsid w:val="00416A83"/>
    <w:rsid w:val="004173BD"/>
    <w:rsid w:val="00417CCF"/>
    <w:rsid w:val="00420091"/>
    <w:rsid w:val="0042187D"/>
    <w:rsid w:val="004221DB"/>
    <w:rsid w:val="00422DCE"/>
    <w:rsid w:val="004258B3"/>
    <w:rsid w:val="00427E5C"/>
    <w:rsid w:val="00430CF7"/>
    <w:rsid w:val="004313C1"/>
    <w:rsid w:val="004313DB"/>
    <w:rsid w:val="00431B54"/>
    <w:rsid w:val="00431F52"/>
    <w:rsid w:val="0043204F"/>
    <w:rsid w:val="00432E6D"/>
    <w:rsid w:val="004347EE"/>
    <w:rsid w:val="004357B8"/>
    <w:rsid w:val="00436309"/>
    <w:rsid w:val="0043635A"/>
    <w:rsid w:val="004369E3"/>
    <w:rsid w:val="00436E05"/>
    <w:rsid w:val="00440C05"/>
    <w:rsid w:val="004418A4"/>
    <w:rsid w:val="004421A1"/>
    <w:rsid w:val="00444520"/>
    <w:rsid w:val="00445635"/>
    <w:rsid w:val="00445D35"/>
    <w:rsid w:val="00445FF8"/>
    <w:rsid w:val="004475A0"/>
    <w:rsid w:val="00451854"/>
    <w:rsid w:val="004526A3"/>
    <w:rsid w:val="00453E4E"/>
    <w:rsid w:val="00455822"/>
    <w:rsid w:val="0045795B"/>
    <w:rsid w:val="00457C89"/>
    <w:rsid w:val="004610FF"/>
    <w:rsid w:val="00461242"/>
    <w:rsid w:val="00461320"/>
    <w:rsid w:val="004614C2"/>
    <w:rsid w:val="004618E7"/>
    <w:rsid w:val="00462854"/>
    <w:rsid w:val="00464088"/>
    <w:rsid w:val="00464777"/>
    <w:rsid w:val="00465AD4"/>
    <w:rsid w:val="00466A06"/>
    <w:rsid w:val="00466EF5"/>
    <w:rsid w:val="004677C7"/>
    <w:rsid w:val="004678C3"/>
    <w:rsid w:val="0047114B"/>
    <w:rsid w:val="004714AE"/>
    <w:rsid w:val="00472AA7"/>
    <w:rsid w:val="004730EF"/>
    <w:rsid w:val="00474F32"/>
    <w:rsid w:val="00475381"/>
    <w:rsid w:val="0047680C"/>
    <w:rsid w:val="00476D1E"/>
    <w:rsid w:val="00477A4C"/>
    <w:rsid w:val="0048095C"/>
    <w:rsid w:val="004811D1"/>
    <w:rsid w:val="004823DA"/>
    <w:rsid w:val="00482C6D"/>
    <w:rsid w:val="00482E06"/>
    <w:rsid w:val="004837A2"/>
    <w:rsid w:val="00483981"/>
    <w:rsid w:val="00484195"/>
    <w:rsid w:val="00484795"/>
    <w:rsid w:val="00485AE7"/>
    <w:rsid w:val="00487047"/>
    <w:rsid w:val="004907F8"/>
    <w:rsid w:val="004922D6"/>
    <w:rsid w:val="00492821"/>
    <w:rsid w:val="0049332C"/>
    <w:rsid w:val="004941A4"/>
    <w:rsid w:val="0049460F"/>
    <w:rsid w:val="004948A3"/>
    <w:rsid w:val="0049646D"/>
    <w:rsid w:val="00496687"/>
    <w:rsid w:val="00497E21"/>
    <w:rsid w:val="004A0B51"/>
    <w:rsid w:val="004A0C3D"/>
    <w:rsid w:val="004A1106"/>
    <w:rsid w:val="004A1F7B"/>
    <w:rsid w:val="004A2011"/>
    <w:rsid w:val="004A5EE3"/>
    <w:rsid w:val="004A6F7D"/>
    <w:rsid w:val="004A764C"/>
    <w:rsid w:val="004B0114"/>
    <w:rsid w:val="004B16D4"/>
    <w:rsid w:val="004B1C62"/>
    <w:rsid w:val="004B296C"/>
    <w:rsid w:val="004B381A"/>
    <w:rsid w:val="004B3864"/>
    <w:rsid w:val="004B4456"/>
    <w:rsid w:val="004B51BB"/>
    <w:rsid w:val="004B5686"/>
    <w:rsid w:val="004B68A5"/>
    <w:rsid w:val="004B7CE9"/>
    <w:rsid w:val="004B7DCE"/>
    <w:rsid w:val="004C05AF"/>
    <w:rsid w:val="004C066C"/>
    <w:rsid w:val="004C271E"/>
    <w:rsid w:val="004C366A"/>
    <w:rsid w:val="004C3C6A"/>
    <w:rsid w:val="004C4C82"/>
    <w:rsid w:val="004C5831"/>
    <w:rsid w:val="004C58F0"/>
    <w:rsid w:val="004C6475"/>
    <w:rsid w:val="004C666F"/>
    <w:rsid w:val="004C7B5E"/>
    <w:rsid w:val="004D0D92"/>
    <w:rsid w:val="004D1786"/>
    <w:rsid w:val="004D1B95"/>
    <w:rsid w:val="004D27B6"/>
    <w:rsid w:val="004D2B93"/>
    <w:rsid w:val="004D4331"/>
    <w:rsid w:val="004D6050"/>
    <w:rsid w:val="004D6367"/>
    <w:rsid w:val="004D6A43"/>
    <w:rsid w:val="004E16B4"/>
    <w:rsid w:val="004E7CE2"/>
    <w:rsid w:val="004F1B5C"/>
    <w:rsid w:val="004F2110"/>
    <w:rsid w:val="004F23E8"/>
    <w:rsid w:val="004F2E1B"/>
    <w:rsid w:val="004F3EA9"/>
    <w:rsid w:val="004F42C2"/>
    <w:rsid w:val="004F466D"/>
    <w:rsid w:val="004F4A67"/>
    <w:rsid w:val="004F5288"/>
    <w:rsid w:val="004F5BFA"/>
    <w:rsid w:val="004F5CBF"/>
    <w:rsid w:val="0050170F"/>
    <w:rsid w:val="00502749"/>
    <w:rsid w:val="00503900"/>
    <w:rsid w:val="00507331"/>
    <w:rsid w:val="005108B3"/>
    <w:rsid w:val="00510E01"/>
    <w:rsid w:val="00510E9C"/>
    <w:rsid w:val="00511609"/>
    <w:rsid w:val="0051231C"/>
    <w:rsid w:val="00512A0C"/>
    <w:rsid w:val="00512AEB"/>
    <w:rsid w:val="00512DE6"/>
    <w:rsid w:val="00514ED3"/>
    <w:rsid w:val="00516854"/>
    <w:rsid w:val="00516E8F"/>
    <w:rsid w:val="0052224F"/>
    <w:rsid w:val="005224FF"/>
    <w:rsid w:val="00524999"/>
    <w:rsid w:val="005273AB"/>
    <w:rsid w:val="005278DE"/>
    <w:rsid w:val="00527A3B"/>
    <w:rsid w:val="0053128F"/>
    <w:rsid w:val="00531E9B"/>
    <w:rsid w:val="005322A7"/>
    <w:rsid w:val="00535544"/>
    <w:rsid w:val="0053646B"/>
    <w:rsid w:val="005367FA"/>
    <w:rsid w:val="00536F02"/>
    <w:rsid w:val="005412E0"/>
    <w:rsid w:val="00541956"/>
    <w:rsid w:val="00541A0D"/>
    <w:rsid w:val="0054244C"/>
    <w:rsid w:val="00543791"/>
    <w:rsid w:val="00543979"/>
    <w:rsid w:val="00543F6B"/>
    <w:rsid w:val="0054408A"/>
    <w:rsid w:val="005443EF"/>
    <w:rsid w:val="005449C1"/>
    <w:rsid w:val="00545B8D"/>
    <w:rsid w:val="00546241"/>
    <w:rsid w:val="005467FD"/>
    <w:rsid w:val="00546CDA"/>
    <w:rsid w:val="00546F5D"/>
    <w:rsid w:val="00547787"/>
    <w:rsid w:val="005479AE"/>
    <w:rsid w:val="005510D3"/>
    <w:rsid w:val="00551ADB"/>
    <w:rsid w:val="005533D5"/>
    <w:rsid w:val="005541C2"/>
    <w:rsid w:val="00554623"/>
    <w:rsid w:val="00555118"/>
    <w:rsid w:val="0055583C"/>
    <w:rsid w:val="00555F45"/>
    <w:rsid w:val="00556FF7"/>
    <w:rsid w:val="005573C5"/>
    <w:rsid w:val="0056262A"/>
    <w:rsid w:val="00563219"/>
    <w:rsid w:val="005638AA"/>
    <w:rsid w:val="00565B4C"/>
    <w:rsid w:val="00566118"/>
    <w:rsid w:val="005668B8"/>
    <w:rsid w:val="00566FBC"/>
    <w:rsid w:val="005670FC"/>
    <w:rsid w:val="00567DEB"/>
    <w:rsid w:val="0057092A"/>
    <w:rsid w:val="005740DE"/>
    <w:rsid w:val="005743BD"/>
    <w:rsid w:val="00574F26"/>
    <w:rsid w:val="00575114"/>
    <w:rsid w:val="00577026"/>
    <w:rsid w:val="00577CD9"/>
    <w:rsid w:val="00580B0C"/>
    <w:rsid w:val="005810AF"/>
    <w:rsid w:val="00581538"/>
    <w:rsid w:val="00581957"/>
    <w:rsid w:val="00581F37"/>
    <w:rsid w:val="00583023"/>
    <w:rsid w:val="00583765"/>
    <w:rsid w:val="00584207"/>
    <w:rsid w:val="00584876"/>
    <w:rsid w:val="005854A2"/>
    <w:rsid w:val="0058552D"/>
    <w:rsid w:val="005862A5"/>
    <w:rsid w:val="005869D4"/>
    <w:rsid w:val="00586C8D"/>
    <w:rsid w:val="005879D3"/>
    <w:rsid w:val="00590507"/>
    <w:rsid w:val="00590D9D"/>
    <w:rsid w:val="00591110"/>
    <w:rsid w:val="005933E5"/>
    <w:rsid w:val="0059357F"/>
    <w:rsid w:val="00593682"/>
    <w:rsid w:val="00593EFB"/>
    <w:rsid w:val="005941B2"/>
    <w:rsid w:val="00595AAC"/>
    <w:rsid w:val="00595EC7"/>
    <w:rsid w:val="005A09E8"/>
    <w:rsid w:val="005A103E"/>
    <w:rsid w:val="005A1160"/>
    <w:rsid w:val="005A19AC"/>
    <w:rsid w:val="005A235E"/>
    <w:rsid w:val="005A271B"/>
    <w:rsid w:val="005A44B6"/>
    <w:rsid w:val="005A5153"/>
    <w:rsid w:val="005A563E"/>
    <w:rsid w:val="005A5C9A"/>
    <w:rsid w:val="005A5FE4"/>
    <w:rsid w:val="005A618C"/>
    <w:rsid w:val="005A65A4"/>
    <w:rsid w:val="005A65A6"/>
    <w:rsid w:val="005A6979"/>
    <w:rsid w:val="005A77F1"/>
    <w:rsid w:val="005B13BD"/>
    <w:rsid w:val="005B1A1D"/>
    <w:rsid w:val="005B336F"/>
    <w:rsid w:val="005B617F"/>
    <w:rsid w:val="005B6727"/>
    <w:rsid w:val="005B7DF6"/>
    <w:rsid w:val="005C0DCF"/>
    <w:rsid w:val="005C2B7E"/>
    <w:rsid w:val="005C336C"/>
    <w:rsid w:val="005C6747"/>
    <w:rsid w:val="005C686B"/>
    <w:rsid w:val="005C68DC"/>
    <w:rsid w:val="005C6D16"/>
    <w:rsid w:val="005C7573"/>
    <w:rsid w:val="005C79CB"/>
    <w:rsid w:val="005D1880"/>
    <w:rsid w:val="005D1C84"/>
    <w:rsid w:val="005D1FC6"/>
    <w:rsid w:val="005D23E1"/>
    <w:rsid w:val="005D298B"/>
    <w:rsid w:val="005D2F12"/>
    <w:rsid w:val="005D312D"/>
    <w:rsid w:val="005D3531"/>
    <w:rsid w:val="005D386A"/>
    <w:rsid w:val="005D4AEE"/>
    <w:rsid w:val="005D5399"/>
    <w:rsid w:val="005D5650"/>
    <w:rsid w:val="005D7E1B"/>
    <w:rsid w:val="005D7EF3"/>
    <w:rsid w:val="005E019E"/>
    <w:rsid w:val="005E1CEE"/>
    <w:rsid w:val="005E234A"/>
    <w:rsid w:val="005E339D"/>
    <w:rsid w:val="005E3655"/>
    <w:rsid w:val="005E5316"/>
    <w:rsid w:val="005E5D44"/>
    <w:rsid w:val="005E609A"/>
    <w:rsid w:val="005E7C4C"/>
    <w:rsid w:val="005E7EF8"/>
    <w:rsid w:val="005F0B3A"/>
    <w:rsid w:val="005F0CB5"/>
    <w:rsid w:val="005F1F68"/>
    <w:rsid w:val="005F231B"/>
    <w:rsid w:val="005F24B2"/>
    <w:rsid w:val="005F3664"/>
    <w:rsid w:val="005F3E38"/>
    <w:rsid w:val="005F5C02"/>
    <w:rsid w:val="005F6647"/>
    <w:rsid w:val="005F66C8"/>
    <w:rsid w:val="005F6C05"/>
    <w:rsid w:val="005F6ED4"/>
    <w:rsid w:val="005F7068"/>
    <w:rsid w:val="005F7957"/>
    <w:rsid w:val="006033D2"/>
    <w:rsid w:val="00604770"/>
    <w:rsid w:val="00605604"/>
    <w:rsid w:val="0060619A"/>
    <w:rsid w:val="006072FF"/>
    <w:rsid w:val="006076DD"/>
    <w:rsid w:val="006119CD"/>
    <w:rsid w:val="00611F1F"/>
    <w:rsid w:val="00612048"/>
    <w:rsid w:val="0061218F"/>
    <w:rsid w:val="006131F5"/>
    <w:rsid w:val="00614711"/>
    <w:rsid w:val="00614B42"/>
    <w:rsid w:val="00615F86"/>
    <w:rsid w:val="00617535"/>
    <w:rsid w:val="00620472"/>
    <w:rsid w:val="00620D81"/>
    <w:rsid w:val="006245F1"/>
    <w:rsid w:val="0062580F"/>
    <w:rsid w:val="00626883"/>
    <w:rsid w:val="0062730A"/>
    <w:rsid w:val="006273BC"/>
    <w:rsid w:val="00627C33"/>
    <w:rsid w:val="00627DB8"/>
    <w:rsid w:val="00627F09"/>
    <w:rsid w:val="00630209"/>
    <w:rsid w:val="00631222"/>
    <w:rsid w:val="00631305"/>
    <w:rsid w:val="006344B3"/>
    <w:rsid w:val="0063510E"/>
    <w:rsid w:val="00636D6C"/>
    <w:rsid w:val="00636EC1"/>
    <w:rsid w:val="00637264"/>
    <w:rsid w:val="0063741D"/>
    <w:rsid w:val="00637A31"/>
    <w:rsid w:val="006419F1"/>
    <w:rsid w:val="00641F57"/>
    <w:rsid w:val="00642D74"/>
    <w:rsid w:val="00643581"/>
    <w:rsid w:val="00643DC0"/>
    <w:rsid w:val="00643E6F"/>
    <w:rsid w:val="00644C04"/>
    <w:rsid w:val="00645160"/>
    <w:rsid w:val="00645B00"/>
    <w:rsid w:val="0064698B"/>
    <w:rsid w:val="00646DBD"/>
    <w:rsid w:val="006472D7"/>
    <w:rsid w:val="00652529"/>
    <w:rsid w:val="00652603"/>
    <w:rsid w:val="00653B50"/>
    <w:rsid w:val="00654151"/>
    <w:rsid w:val="0065472B"/>
    <w:rsid w:val="0065480D"/>
    <w:rsid w:val="00654C30"/>
    <w:rsid w:val="00654F28"/>
    <w:rsid w:val="006555C2"/>
    <w:rsid w:val="006564EF"/>
    <w:rsid w:val="0065658C"/>
    <w:rsid w:val="00656D0C"/>
    <w:rsid w:val="0065753C"/>
    <w:rsid w:val="00657973"/>
    <w:rsid w:val="00657C7B"/>
    <w:rsid w:val="00657CB0"/>
    <w:rsid w:val="00660002"/>
    <w:rsid w:val="006600C3"/>
    <w:rsid w:val="00660A2B"/>
    <w:rsid w:val="00660BD9"/>
    <w:rsid w:val="00660D12"/>
    <w:rsid w:val="0066197B"/>
    <w:rsid w:val="00663431"/>
    <w:rsid w:val="00664965"/>
    <w:rsid w:val="00664A1A"/>
    <w:rsid w:val="006650FB"/>
    <w:rsid w:val="00666AF9"/>
    <w:rsid w:val="006673AF"/>
    <w:rsid w:val="00670AFB"/>
    <w:rsid w:val="0067139F"/>
    <w:rsid w:val="00672347"/>
    <w:rsid w:val="00673D94"/>
    <w:rsid w:val="006746A0"/>
    <w:rsid w:val="00674A99"/>
    <w:rsid w:val="00674FDE"/>
    <w:rsid w:val="00675B71"/>
    <w:rsid w:val="00677968"/>
    <w:rsid w:val="006823C3"/>
    <w:rsid w:val="00683042"/>
    <w:rsid w:val="0068389C"/>
    <w:rsid w:val="006844DB"/>
    <w:rsid w:val="006864BF"/>
    <w:rsid w:val="00690AC6"/>
    <w:rsid w:val="006925CC"/>
    <w:rsid w:val="0069527F"/>
    <w:rsid w:val="00695B27"/>
    <w:rsid w:val="00696656"/>
    <w:rsid w:val="0069675A"/>
    <w:rsid w:val="0069697F"/>
    <w:rsid w:val="00697C70"/>
    <w:rsid w:val="006A3FF8"/>
    <w:rsid w:val="006A4605"/>
    <w:rsid w:val="006A5D75"/>
    <w:rsid w:val="006A682D"/>
    <w:rsid w:val="006A6C9E"/>
    <w:rsid w:val="006A724F"/>
    <w:rsid w:val="006A78EC"/>
    <w:rsid w:val="006B4431"/>
    <w:rsid w:val="006B4459"/>
    <w:rsid w:val="006B4865"/>
    <w:rsid w:val="006B4DAD"/>
    <w:rsid w:val="006B519A"/>
    <w:rsid w:val="006B565D"/>
    <w:rsid w:val="006B62CA"/>
    <w:rsid w:val="006B699F"/>
    <w:rsid w:val="006B69BA"/>
    <w:rsid w:val="006B6F16"/>
    <w:rsid w:val="006B71F7"/>
    <w:rsid w:val="006B755F"/>
    <w:rsid w:val="006B762E"/>
    <w:rsid w:val="006C0ED8"/>
    <w:rsid w:val="006C1703"/>
    <w:rsid w:val="006C1780"/>
    <w:rsid w:val="006C1EBE"/>
    <w:rsid w:val="006C233C"/>
    <w:rsid w:val="006C31CC"/>
    <w:rsid w:val="006C4F8E"/>
    <w:rsid w:val="006C5863"/>
    <w:rsid w:val="006C5E02"/>
    <w:rsid w:val="006D276B"/>
    <w:rsid w:val="006D2839"/>
    <w:rsid w:val="006D2D35"/>
    <w:rsid w:val="006D4E7C"/>
    <w:rsid w:val="006D566F"/>
    <w:rsid w:val="006D619B"/>
    <w:rsid w:val="006D66BA"/>
    <w:rsid w:val="006D6F28"/>
    <w:rsid w:val="006D7688"/>
    <w:rsid w:val="006E0315"/>
    <w:rsid w:val="006E0C3E"/>
    <w:rsid w:val="006E25A5"/>
    <w:rsid w:val="006E3F3E"/>
    <w:rsid w:val="006E441A"/>
    <w:rsid w:val="006E4449"/>
    <w:rsid w:val="006E50B2"/>
    <w:rsid w:val="006E6451"/>
    <w:rsid w:val="006E6826"/>
    <w:rsid w:val="006E6AEA"/>
    <w:rsid w:val="006F17AA"/>
    <w:rsid w:val="006F44CC"/>
    <w:rsid w:val="006F4791"/>
    <w:rsid w:val="006F4D72"/>
    <w:rsid w:val="006F5AA2"/>
    <w:rsid w:val="006F6620"/>
    <w:rsid w:val="00700956"/>
    <w:rsid w:val="007014AB"/>
    <w:rsid w:val="00701EEA"/>
    <w:rsid w:val="007031C0"/>
    <w:rsid w:val="007048DC"/>
    <w:rsid w:val="00704DB2"/>
    <w:rsid w:val="007051FD"/>
    <w:rsid w:val="00705BDA"/>
    <w:rsid w:val="00705E9A"/>
    <w:rsid w:val="00706106"/>
    <w:rsid w:val="00706DC4"/>
    <w:rsid w:val="00707A69"/>
    <w:rsid w:val="007115A9"/>
    <w:rsid w:val="00713560"/>
    <w:rsid w:val="007136F2"/>
    <w:rsid w:val="00714ECA"/>
    <w:rsid w:val="007163AC"/>
    <w:rsid w:val="0071640A"/>
    <w:rsid w:val="00717307"/>
    <w:rsid w:val="0072025B"/>
    <w:rsid w:val="007203F4"/>
    <w:rsid w:val="00720AA8"/>
    <w:rsid w:val="00722CB6"/>
    <w:rsid w:val="007235CF"/>
    <w:rsid w:val="00723884"/>
    <w:rsid w:val="00723F98"/>
    <w:rsid w:val="0072567F"/>
    <w:rsid w:val="00727B50"/>
    <w:rsid w:val="0073272B"/>
    <w:rsid w:val="00732BA8"/>
    <w:rsid w:val="00732BAD"/>
    <w:rsid w:val="00733001"/>
    <w:rsid w:val="00734745"/>
    <w:rsid w:val="00734867"/>
    <w:rsid w:val="00735F03"/>
    <w:rsid w:val="00736B46"/>
    <w:rsid w:val="007372FD"/>
    <w:rsid w:val="00737B74"/>
    <w:rsid w:val="00740196"/>
    <w:rsid w:val="00742FAD"/>
    <w:rsid w:val="00743A2E"/>
    <w:rsid w:val="00744773"/>
    <w:rsid w:val="0074478E"/>
    <w:rsid w:val="0074544A"/>
    <w:rsid w:val="00750060"/>
    <w:rsid w:val="00751360"/>
    <w:rsid w:val="00751AF9"/>
    <w:rsid w:val="00751D56"/>
    <w:rsid w:val="00751EFE"/>
    <w:rsid w:val="007520F5"/>
    <w:rsid w:val="00752C84"/>
    <w:rsid w:val="00752EC3"/>
    <w:rsid w:val="00753C4B"/>
    <w:rsid w:val="007545A3"/>
    <w:rsid w:val="007557E1"/>
    <w:rsid w:val="00755CDB"/>
    <w:rsid w:val="00756179"/>
    <w:rsid w:val="00756EC9"/>
    <w:rsid w:val="007575DA"/>
    <w:rsid w:val="00757B36"/>
    <w:rsid w:val="007617AE"/>
    <w:rsid w:val="00761F20"/>
    <w:rsid w:val="00762284"/>
    <w:rsid w:val="00762971"/>
    <w:rsid w:val="00763A5D"/>
    <w:rsid w:val="00763C72"/>
    <w:rsid w:val="0076439A"/>
    <w:rsid w:val="007647E6"/>
    <w:rsid w:val="00764FAB"/>
    <w:rsid w:val="00765750"/>
    <w:rsid w:val="007667D3"/>
    <w:rsid w:val="00767A8D"/>
    <w:rsid w:val="00767FAE"/>
    <w:rsid w:val="00770C54"/>
    <w:rsid w:val="00770CC3"/>
    <w:rsid w:val="007719BE"/>
    <w:rsid w:val="00771DE4"/>
    <w:rsid w:val="00771F6E"/>
    <w:rsid w:val="0077304E"/>
    <w:rsid w:val="00774E25"/>
    <w:rsid w:val="00775839"/>
    <w:rsid w:val="00775967"/>
    <w:rsid w:val="00775BEC"/>
    <w:rsid w:val="0077649F"/>
    <w:rsid w:val="00777B49"/>
    <w:rsid w:val="007804C9"/>
    <w:rsid w:val="00784E2B"/>
    <w:rsid w:val="007859A5"/>
    <w:rsid w:val="007861B6"/>
    <w:rsid w:val="00786626"/>
    <w:rsid w:val="0078743F"/>
    <w:rsid w:val="007877DF"/>
    <w:rsid w:val="00787D2C"/>
    <w:rsid w:val="00787DEB"/>
    <w:rsid w:val="00790B7F"/>
    <w:rsid w:val="00790BE9"/>
    <w:rsid w:val="00791758"/>
    <w:rsid w:val="007920B1"/>
    <w:rsid w:val="00792B6E"/>
    <w:rsid w:val="007930D8"/>
    <w:rsid w:val="00793AD5"/>
    <w:rsid w:val="00794457"/>
    <w:rsid w:val="0079445A"/>
    <w:rsid w:val="0079749F"/>
    <w:rsid w:val="0079754F"/>
    <w:rsid w:val="00797F67"/>
    <w:rsid w:val="007A01C9"/>
    <w:rsid w:val="007A02D7"/>
    <w:rsid w:val="007A17C7"/>
    <w:rsid w:val="007A2CB0"/>
    <w:rsid w:val="007A3DC2"/>
    <w:rsid w:val="007A3FF6"/>
    <w:rsid w:val="007A5981"/>
    <w:rsid w:val="007A6C6C"/>
    <w:rsid w:val="007A6EA8"/>
    <w:rsid w:val="007A710E"/>
    <w:rsid w:val="007A750C"/>
    <w:rsid w:val="007A7D31"/>
    <w:rsid w:val="007B2628"/>
    <w:rsid w:val="007B3C1A"/>
    <w:rsid w:val="007B3DBD"/>
    <w:rsid w:val="007B3F1C"/>
    <w:rsid w:val="007B498F"/>
    <w:rsid w:val="007B5449"/>
    <w:rsid w:val="007B5723"/>
    <w:rsid w:val="007B5B10"/>
    <w:rsid w:val="007B5FE1"/>
    <w:rsid w:val="007B72AD"/>
    <w:rsid w:val="007B7725"/>
    <w:rsid w:val="007C0EC9"/>
    <w:rsid w:val="007C2B4D"/>
    <w:rsid w:val="007C3516"/>
    <w:rsid w:val="007C371A"/>
    <w:rsid w:val="007C37CC"/>
    <w:rsid w:val="007C446C"/>
    <w:rsid w:val="007C5095"/>
    <w:rsid w:val="007C59D7"/>
    <w:rsid w:val="007C6615"/>
    <w:rsid w:val="007D0164"/>
    <w:rsid w:val="007D16CB"/>
    <w:rsid w:val="007D24B9"/>
    <w:rsid w:val="007D3138"/>
    <w:rsid w:val="007D476E"/>
    <w:rsid w:val="007D5E2F"/>
    <w:rsid w:val="007E06C0"/>
    <w:rsid w:val="007E0980"/>
    <w:rsid w:val="007E0C27"/>
    <w:rsid w:val="007E1909"/>
    <w:rsid w:val="007E4A31"/>
    <w:rsid w:val="007E4A7D"/>
    <w:rsid w:val="007E708E"/>
    <w:rsid w:val="007E728F"/>
    <w:rsid w:val="007F08F9"/>
    <w:rsid w:val="007F120C"/>
    <w:rsid w:val="007F1242"/>
    <w:rsid w:val="007F1B73"/>
    <w:rsid w:val="007F212D"/>
    <w:rsid w:val="007F370F"/>
    <w:rsid w:val="007F4751"/>
    <w:rsid w:val="007F549C"/>
    <w:rsid w:val="007F5833"/>
    <w:rsid w:val="007F5EEF"/>
    <w:rsid w:val="007F5F5C"/>
    <w:rsid w:val="007F715D"/>
    <w:rsid w:val="007F73B2"/>
    <w:rsid w:val="007F79E2"/>
    <w:rsid w:val="007F7E3E"/>
    <w:rsid w:val="008004BB"/>
    <w:rsid w:val="00800804"/>
    <w:rsid w:val="00802A29"/>
    <w:rsid w:val="00803B05"/>
    <w:rsid w:val="00804257"/>
    <w:rsid w:val="0080497D"/>
    <w:rsid w:val="00804C75"/>
    <w:rsid w:val="00804D93"/>
    <w:rsid w:val="00806468"/>
    <w:rsid w:val="008068E1"/>
    <w:rsid w:val="00810747"/>
    <w:rsid w:val="008107AE"/>
    <w:rsid w:val="008112C8"/>
    <w:rsid w:val="0081149D"/>
    <w:rsid w:val="008130B2"/>
    <w:rsid w:val="00814874"/>
    <w:rsid w:val="00814B9D"/>
    <w:rsid w:val="008153BB"/>
    <w:rsid w:val="008159C7"/>
    <w:rsid w:val="008162A3"/>
    <w:rsid w:val="008177F6"/>
    <w:rsid w:val="00817A2F"/>
    <w:rsid w:val="0082013D"/>
    <w:rsid w:val="0082076E"/>
    <w:rsid w:val="00820C58"/>
    <w:rsid w:val="00820F6C"/>
    <w:rsid w:val="008218D3"/>
    <w:rsid w:val="008228B3"/>
    <w:rsid w:val="00825A43"/>
    <w:rsid w:val="00827DB9"/>
    <w:rsid w:val="00831027"/>
    <w:rsid w:val="00832942"/>
    <w:rsid w:val="008329EF"/>
    <w:rsid w:val="00832A0C"/>
    <w:rsid w:val="00833980"/>
    <w:rsid w:val="00833CF8"/>
    <w:rsid w:val="0083533B"/>
    <w:rsid w:val="0083535A"/>
    <w:rsid w:val="008356AD"/>
    <w:rsid w:val="00835A41"/>
    <w:rsid w:val="00835EA8"/>
    <w:rsid w:val="00837814"/>
    <w:rsid w:val="008403F6"/>
    <w:rsid w:val="00840B14"/>
    <w:rsid w:val="00840C56"/>
    <w:rsid w:val="008416B9"/>
    <w:rsid w:val="00842B3D"/>
    <w:rsid w:val="0084302D"/>
    <w:rsid w:val="0084494F"/>
    <w:rsid w:val="00844F15"/>
    <w:rsid w:val="00845850"/>
    <w:rsid w:val="00845AEE"/>
    <w:rsid w:val="00847BFA"/>
    <w:rsid w:val="00850516"/>
    <w:rsid w:val="00850556"/>
    <w:rsid w:val="0085076E"/>
    <w:rsid w:val="0085148C"/>
    <w:rsid w:val="0085187A"/>
    <w:rsid w:val="00851FD9"/>
    <w:rsid w:val="00852892"/>
    <w:rsid w:val="00853597"/>
    <w:rsid w:val="0085450C"/>
    <w:rsid w:val="00855936"/>
    <w:rsid w:val="00856335"/>
    <w:rsid w:val="00857193"/>
    <w:rsid w:val="00857857"/>
    <w:rsid w:val="00857FFD"/>
    <w:rsid w:val="00860C59"/>
    <w:rsid w:val="0086311D"/>
    <w:rsid w:val="00863766"/>
    <w:rsid w:val="00863F56"/>
    <w:rsid w:val="00864F76"/>
    <w:rsid w:val="00864F7B"/>
    <w:rsid w:val="0086647E"/>
    <w:rsid w:val="00866878"/>
    <w:rsid w:val="00866B22"/>
    <w:rsid w:val="00867313"/>
    <w:rsid w:val="008673B8"/>
    <w:rsid w:val="008679CF"/>
    <w:rsid w:val="00867BA2"/>
    <w:rsid w:val="008717AA"/>
    <w:rsid w:val="00871ACE"/>
    <w:rsid w:val="00872F60"/>
    <w:rsid w:val="00875D91"/>
    <w:rsid w:val="0088010E"/>
    <w:rsid w:val="00880167"/>
    <w:rsid w:val="0088156D"/>
    <w:rsid w:val="00882A56"/>
    <w:rsid w:val="008840C1"/>
    <w:rsid w:val="00884B7E"/>
    <w:rsid w:val="008863A0"/>
    <w:rsid w:val="00886FDC"/>
    <w:rsid w:val="008875F4"/>
    <w:rsid w:val="008919D3"/>
    <w:rsid w:val="00892872"/>
    <w:rsid w:val="0089298C"/>
    <w:rsid w:val="008944CC"/>
    <w:rsid w:val="00894D58"/>
    <w:rsid w:val="00894E72"/>
    <w:rsid w:val="00894F83"/>
    <w:rsid w:val="00895662"/>
    <w:rsid w:val="0089625E"/>
    <w:rsid w:val="00896BE0"/>
    <w:rsid w:val="00896CE0"/>
    <w:rsid w:val="008A20FF"/>
    <w:rsid w:val="008A25F3"/>
    <w:rsid w:val="008A3116"/>
    <w:rsid w:val="008A372B"/>
    <w:rsid w:val="008A424F"/>
    <w:rsid w:val="008A47DE"/>
    <w:rsid w:val="008A5A0F"/>
    <w:rsid w:val="008A68EE"/>
    <w:rsid w:val="008A73E4"/>
    <w:rsid w:val="008A7DF7"/>
    <w:rsid w:val="008B12E8"/>
    <w:rsid w:val="008B1535"/>
    <w:rsid w:val="008B16D0"/>
    <w:rsid w:val="008B3276"/>
    <w:rsid w:val="008B5586"/>
    <w:rsid w:val="008B7E65"/>
    <w:rsid w:val="008C01CF"/>
    <w:rsid w:val="008C0823"/>
    <w:rsid w:val="008C0B8E"/>
    <w:rsid w:val="008C0EE5"/>
    <w:rsid w:val="008C1E15"/>
    <w:rsid w:val="008C229C"/>
    <w:rsid w:val="008C3E60"/>
    <w:rsid w:val="008C4B64"/>
    <w:rsid w:val="008C4F5A"/>
    <w:rsid w:val="008C5B12"/>
    <w:rsid w:val="008C64C7"/>
    <w:rsid w:val="008C7736"/>
    <w:rsid w:val="008C77D5"/>
    <w:rsid w:val="008D0215"/>
    <w:rsid w:val="008D1073"/>
    <w:rsid w:val="008D13A7"/>
    <w:rsid w:val="008D188D"/>
    <w:rsid w:val="008D1C97"/>
    <w:rsid w:val="008D1E4D"/>
    <w:rsid w:val="008D38D7"/>
    <w:rsid w:val="008D3CAF"/>
    <w:rsid w:val="008D4413"/>
    <w:rsid w:val="008D441D"/>
    <w:rsid w:val="008D4AF7"/>
    <w:rsid w:val="008D6495"/>
    <w:rsid w:val="008D6CF2"/>
    <w:rsid w:val="008D6D57"/>
    <w:rsid w:val="008D7CBC"/>
    <w:rsid w:val="008E070B"/>
    <w:rsid w:val="008E0B73"/>
    <w:rsid w:val="008E0CDA"/>
    <w:rsid w:val="008E2546"/>
    <w:rsid w:val="008E29A6"/>
    <w:rsid w:val="008E4EBB"/>
    <w:rsid w:val="008E738A"/>
    <w:rsid w:val="008E79E6"/>
    <w:rsid w:val="008F00E7"/>
    <w:rsid w:val="008F05BF"/>
    <w:rsid w:val="008F0656"/>
    <w:rsid w:val="008F0AE6"/>
    <w:rsid w:val="008F0D79"/>
    <w:rsid w:val="008F0D96"/>
    <w:rsid w:val="008F1C77"/>
    <w:rsid w:val="008F4154"/>
    <w:rsid w:val="008F4BB5"/>
    <w:rsid w:val="008F57AF"/>
    <w:rsid w:val="008F5F2C"/>
    <w:rsid w:val="008F64E6"/>
    <w:rsid w:val="008F6924"/>
    <w:rsid w:val="009014B1"/>
    <w:rsid w:val="0090397A"/>
    <w:rsid w:val="009043E2"/>
    <w:rsid w:val="0090451F"/>
    <w:rsid w:val="009047DD"/>
    <w:rsid w:val="00906104"/>
    <w:rsid w:val="00906439"/>
    <w:rsid w:val="00911A01"/>
    <w:rsid w:val="00913F80"/>
    <w:rsid w:val="00914872"/>
    <w:rsid w:val="00914BB8"/>
    <w:rsid w:val="00914C5E"/>
    <w:rsid w:val="0091558D"/>
    <w:rsid w:val="00915C07"/>
    <w:rsid w:val="009163DD"/>
    <w:rsid w:val="00916A3B"/>
    <w:rsid w:val="00917C5A"/>
    <w:rsid w:val="009202EF"/>
    <w:rsid w:val="009209AD"/>
    <w:rsid w:val="00920D91"/>
    <w:rsid w:val="00921A2E"/>
    <w:rsid w:val="00921ACC"/>
    <w:rsid w:val="00921B2C"/>
    <w:rsid w:val="00924A7B"/>
    <w:rsid w:val="00924CF8"/>
    <w:rsid w:val="00925821"/>
    <w:rsid w:val="0092689F"/>
    <w:rsid w:val="00926EBB"/>
    <w:rsid w:val="00926F03"/>
    <w:rsid w:val="00930379"/>
    <w:rsid w:val="00930B2E"/>
    <w:rsid w:val="00930DEA"/>
    <w:rsid w:val="009318D3"/>
    <w:rsid w:val="009318E9"/>
    <w:rsid w:val="0093254F"/>
    <w:rsid w:val="00932DBF"/>
    <w:rsid w:val="00933144"/>
    <w:rsid w:val="009338B6"/>
    <w:rsid w:val="009338B7"/>
    <w:rsid w:val="00933B08"/>
    <w:rsid w:val="009353FB"/>
    <w:rsid w:val="00937420"/>
    <w:rsid w:val="009422DA"/>
    <w:rsid w:val="0094487C"/>
    <w:rsid w:val="00944CCA"/>
    <w:rsid w:val="00945D7B"/>
    <w:rsid w:val="0094684A"/>
    <w:rsid w:val="0094746A"/>
    <w:rsid w:val="0095067F"/>
    <w:rsid w:val="0095072A"/>
    <w:rsid w:val="00950AC6"/>
    <w:rsid w:val="00951908"/>
    <w:rsid w:val="00951FB7"/>
    <w:rsid w:val="009525EF"/>
    <w:rsid w:val="009530B5"/>
    <w:rsid w:val="009536C0"/>
    <w:rsid w:val="00956F15"/>
    <w:rsid w:val="00957261"/>
    <w:rsid w:val="009574F0"/>
    <w:rsid w:val="00960D55"/>
    <w:rsid w:val="00960E0E"/>
    <w:rsid w:val="0096444F"/>
    <w:rsid w:val="0096522C"/>
    <w:rsid w:val="00965855"/>
    <w:rsid w:val="00965D60"/>
    <w:rsid w:val="00966698"/>
    <w:rsid w:val="00966D77"/>
    <w:rsid w:val="00967E07"/>
    <w:rsid w:val="00970B8C"/>
    <w:rsid w:val="00971BE4"/>
    <w:rsid w:val="0097264A"/>
    <w:rsid w:val="009731C3"/>
    <w:rsid w:val="00973B87"/>
    <w:rsid w:val="009757F7"/>
    <w:rsid w:val="00976542"/>
    <w:rsid w:val="00976CC5"/>
    <w:rsid w:val="009777BC"/>
    <w:rsid w:val="00977EF7"/>
    <w:rsid w:val="00980567"/>
    <w:rsid w:val="00980AB9"/>
    <w:rsid w:val="00981039"/>
    <w:rsid w:val="009815A2"/>
    <w:rsid w:val="00981C98"/>
    <w:rsid w:val="00981E08"/>
    <w:rsid w:val="00982AC6"/>
    <w:rsid w:val="009838E9"/>
    <w:rsid w:val="00986710"/>
    <w:rsid w:val="00986AB2"/>
    <w:rsid w:val="009871EF"/>
    <w:rsid w:val="009875A8"/>
    <w:rsid w:val="00987AC7"/>
    <w:rsid w:val="00990265"/>
    <w:rsid w:val="009902B6"/>
    <w:rsid w:val="00990640"/>
    <w:rsid w:val="0099074F"/>
    <w:rsid w:val="009907FE"/>
    <w:rsid w:val="0099109E"/>
    <w:rsid w:val="00993508"/>
    <w:rsid w:val="00994FCA"/>
    <w:rsid w:val="00996C76"/>
    <w:rsid w:val="00996EA2"/>
    <w:rsid w:val="009A0C62"/>
    <w:rsid w:val="009A0E8B"/>
    <w:rsid w:val="009A5491"/>
    <w:rsid w:val="009A5F35"/>
    <w:rsid w:val="009A649F"/>
    <w:rsid w:val="009A759D"/>
    <w:rsid w:val="009B16C7"/>
    <w:rsid w:val="009B2084"/>
    <w:rsid w:val="009B5C37"/>
    <w:rsid w:val="009C2364"/>
    <w:rsid w:val="009C2801"/>
    <w:rsid w:val="009C2E0F"/>
    <w:rsid w:val="009C3223"/>
    <w:rsid w:val="009C3497"/>
    <w:rsid w:val="009C46AB"/>
    <w:rsid w:val="009C6661"/>
    <w:rsid w:val="009D02FD"/>
    <w:rsid w:val="009D0AF7"/>
    <w:rsid w:val="009D0C48"/>
    <w:rsid w:val="009D13CC"/>
    <w:rsid w:val="009D21EB"/>
    <w:rsid w:val="009D36ED"/>
    <w:rsid w:val="009D3714"/>
    <w:rsid w:val="009D3D49"/>
    <w:rsid w:val="009D5653"/>
    <w:rsid w:val="009D5A37"/>
    <w:rsid w:val="009D65C4"/>
    <w:rsid w:val="009D725E"/>
    <w:rsid w:val="009E0B33"/>
    <w:rsid w:val="009E3A1E"/>
    <w:rsid w:val="009E4AA2"/>
    <w:rsid w:val="009E55A2"/>
    <w:rsid w:val="009E5685"/>
    <w:rsid w:val="009E6846"/>
    <w:rsid w:val="009E708E"/>
    <w:rsid w:val="009E781D"/>
    <w:rsid w:val="009F0651"/>
    <w:rsid w:val="009F0A61"/>
    <w:rsid w:val="009F0AEE"/>
    <w:rsid w:val="009F1CEB"/>
    <w:rsid w:val="009F299C"/>
    <w:rsid w:val="009F3CA4"/>
    <w:rsid w:val="009F4C90"/>
    <w:rsid w:val="009F5A20"/>
    <w:rsid w:val="009F6025"/>
    <w:rsid w:val="009F60FF"/>
    <w:rsid w:val="009F7B76"/>
    <w:rsid w:val="009F7DA8"/>
    <w:rsid w:val="00A015F1"/>
    <w:rsid w:val="00A01B52"/>
    <w:rsid w:val="00A01BE5"/>
    <w:rsid w:val="00A02360"/>
    <w:rsid w:val="00A032FC"/>
    <w:rsid w:val="00A0344F"/>
    <w:rsid w:val="00A05267"/>
    <w:rsid w:val="00A0593C"/>
    <w:rsid w:val="00A06C8E"/>
    <w:rsid w:val="00A1048A"/>
    <w:rsid w:val="00A1263C"/>
    <w:rsid w:val="00A1318C"/>
    <w:rsid w:val="00A132B5"/>
    <w:rsid w:val="00A13B3C"/>
    <w:rsid w:val="00A141B2"/>
    <w:rsid w:val="00A1443F"/>
    <w:rsid w:val="00A1666F"/>
    <w:rsid w:val="00A1707D"/>
    <w:rsid w:val="00A17118"/>
    <w:rsid w:val="00A176B8"/>
    <w:rsid w:val="00A17C87"/>
    <w:rsid w:val="00A17CE1"/>
    <w:rsid w:val="00A21FEF"/>
    <w:rsid w:val="00A2292D"/>
    <w:rsid w:val="00A23AC9"/>
    <w:rsid w:val="00A245C7"/>
    <w:rsid w:val="00A25BA3"/>
    <w:rsid w:val="00A25F7C"/>
    <w:rsid w:val="00A26106"/>
    <w:rsid w:val="00A26D2D"/>
    <w:rsid w:val="00A31351"/>
    <w:rsid w:val="00A330BB"/>
    <w:rsid w:val="00A33CCB"/>
    <w:rsid w:val="00A34565"/>
    <w:rsid w:val="00A347D4"/>
    <w:rsid w:val="00A3567C"/>
    <w:rsid w:val="00A40114"/>
    <w:rsid w:val="00A4014B"/>
    <w:rsid w:val="00A42B5E"/>
    <w:rsid w:val="00A4334E"/>
    <w:rsid w:val="00A438B2"/>
    <w:rsid w:val="00A440E2"/>
    <w:rsid w:val="00A44114"/>
    <w:rsid w:val="00A44D8E"/>
    <w:rsid w:val="00A45CCB"/>
    <w:rsid w:val="00A47B92"/>
    <w:rsid w:val="00A47C31"/>
    <w:rsid w:val="00A55814"/>
    <w:rsid w:val="00A55871"/>
    <w:rsid w:val="00A55896"/>
    <w:rsid w:val="00A574EE"/>
    <w:rsid w:val="00A6016D"/>
    <w:rsid w:val="00A60551"/>
    <w:rsid w:val="00A606C2"/>
    <w:rsid w:val="00A60E1E"/>
    <w:rsid w:val="00A61A37"/>
    <w:rsid w:val="00A61EFF"/>
    <w:rsid w:val="00A62816"/>
    <w:rsid w:val="00A629BD"/>
    <w:rsid w:val="00A62A73"/>
    <w:rsid w:val="00A64333"/>
    <w:rsid w:val="00A6526E"/>
    <w:rsid w:val="00A66BD6"/>
    <w:rsid w:val="00A6716E"/>
    <w:rsid w:val="00A67CE8"/>
    <w:rsid w:val="00A705B5"/>
    <w:rsid w:val="00A70C84"/>
    <w:rsid w:val="00A72409"/>
    <w:rsid w:val="00A726FC"/>
    <w:rsid w:val="00A727CC"/>
    <w:rsid w:val="00A72F84"/>
    <w:rsid w:val="00A73ED1"/>
    <w:rsid w:val="00A74FCA"/>
    <w:rsid w:val="00A7542D"/>
    <w:rsid w:val="00A756C4"/>
    <w:rsid w:val="00A76671"/>
    <w:rsid w:val="00A76710"/>
    <w:rsid w:val="00A76C8F"/>
    <w:rsid w:val="00A76D89"/>
    <w:rsid w:val="00A770F5"/>
    <w:rsid w:val="00A802E1"/>
    <w:rsid w:val="00A80CA6"/>
    <w:rsid w:val="00A80FBD"/>
    <w:rsid w:val="00A816EB"/>
    <w:rsid w:val="00A817EC"/>
    <w:rsid w:val="00A82CC8"/>
    <w:rsid w:val="00A82E48"/>
    <w:rsid w:val="00A8315A"/>
    <w:rsid w:val="00A8345F"/>
    <w:rsid w:val="00A83864"/>
    <w:rsid w:val="00A852C9"/>
    <w:rsid w:val="00A85E1F"/>
    <w:rsid w:val="00A87376"/>
    <w:rsid w:val="00A91867"/>
    <w:rsid w:val="00A918FA"/>
    <w:rsid w:val="00A91E26"/>
    <w:rsid w:val="00A92121"/>
    <w:rsid w:val="00A926E5"/>
    <w:rsid w:val="00A928AB"/>
    <w:rsid w:val="00A932B9"/>
    <w:rsid w:val="00A93615"/>
    <w:rsid w:val="00A93943"/>
    <w:rsid w:val="00A9581E"/>
    <w:rsid w:val="00A960A7"/>
    <w:rsid w:val="00A964E3"/>
    <w:rsid w:val="00AA0012"/>
    <w:rsid w:val="00AA17C2"/>
    <w:rsid w:val="00AA188B"/>
    <w:rsid w:val="00AA2A48"/>
    <w:rsid w:val="00AA325D"/>
    <w:rsid w:val="00AA4479"/>
    <w:rsid w:val="00AA451B"/>
    <w:rsid w:val="00AA5A8B"/>
    <w:rsid w:val="00AA660C"/>
    <w:rsid w:val="00AA6CC8"/>
    <w:rsid w:val="00AA706F"/>
    <w:rsid w:val="00AA713C"/>
    <w:rsid w:val="00AB0107"/>
    <w:rsid w:val="00AB1B4E"/>
    <w:rsid w:val="00AB1CE4"/>
    <w:rsid w:val="00AB3210"/>
    <w:rsid w:val="00AB3257"/>
    <w:rsid w:val="00AB3F40"/>
    <w:rsid w:val="00AB589A"/>
    <w:rsid w:val="00AB6BCF"/>
    <w:rsid w:val="00AB7925"/>
    <w:rsid w:val="00AB7A6E"/>
    <w:rsid w:val="00AB7AE7"/>
    <w:rsid w:val="00AB7CE1"/>
    <w:rsid w:val="00AC1989"/>
    <w:rsid w:val="00AC1AF3"/>
    <w:rsid w:val="00AC3D43"/>
    <w:rsid w:val="00AC5747"/>
    <w:rsid w:val="00AC6CDE"/>
    <w:rsid w:val="00AC6E6A"/>
    <w:rsid w:val="00AC7FDE"/>
    <w:rsid w:val="00AD056F"/>
    <w:rsid w:val="00AD1EFF"/>
    <w:rsid w:val="00AD1F02"/>
    <w:rsid w:val="00AD392D"/>
    <w:rsid w:val="00AD4AC1"/>
    <w:rsid w:val="00AD4B39"/>
    <w:rsid w:val="00AD4C61"/>
    <w:rsid w:val="00AD564A"/>
    <w:rsid w:val="00AD58F9"/>
    <w:rsid w:val="00AD5AC5"/>
    <w:rsid w:val="00AD5D3B"/>
    <w:rsid w:val="00AD6B08"/>
    <w:rsid w:val="00AD74E9"/>
    <w:rsid w:val="00AD7631"/>
    <w:rsid w:val="00AD78D9"/>
    <w:rsid w:val="00AE1B9E"/>
    <w:rsid w:val="00AE2148"/>
    <w:rsid w:val="00AE47CD"/>
    <w:rsid w:val="00AE5C61"/>
    <w:rsid w:val="00AE642B"/>
    <w:rsid w:val="00AE6569"/>
    <w:rsid w:val="00AE7154"/>
    <w:rsid w:val="00AE750F"/>
    <w:rsid w:val="00AF0944"/>
    <w:rsid w:val="00AF1BC2"/>
    <w:rsid w:val="00AF2C28"/>
    <w:rsid w:val="00AF3191"/>
    <w:rsid w:val="00B00A80"/>
    <w:rsid w:val="00B00C9C"/>
    <w:rsid w:val="00B014D9"/>
    <w:rsid w:val="00B02AFE"/>
    <w:rsid w:val="00B02E70"/>
    <w:rsid w:val="00B04C66"/>
    <w:rsid w:val="00B0720C"/>
    <w:rsid w:val="00B07212"/>
    <w:rsid w:val="00B07A40"/>
    <w:rsid w:val="00B07F9D"/>
    <w:rsid w:val="00B12172"/>
    <w:rsid w:val="00B12782"/>
    <w:rsid w:val="00B12D41"/>
    <w:rsid w:val="00B1388E"/>
    <w:rsid w:val="00B13FEA"/>
    <w:rsid w:val="00B16018"/>
    <w:rsid w:val="00B1648B"/>
    <w:rsid w:val="00B166C0"/>
    <w:rsid w:val="00B167AF"/>
    <w:rsid w:val="00B16ECD"/>
    <w:rsid w:val="00B17299"/>
    <w:rsid w:val="00B21D31"/>
    <w:rsid w:val="00B22918"/>
    <w:rsid w:val="00B23039"/>
    <w:rsid w:val="00B2349D"/>
    <w:rsid w:val="00B239BD"/>
    <w:rsid w:val="00B24474"/>
    <w:rsid w:val="00B258FF"/>
    <w:rsid w:val="00B25CFF"/>
    <w:rsid w:val="00B26111"/>
    <w:rsid w:val="00B26A6F"/>
    <w:rsid w:val="00B26BF8"/>
    <w:rsid w:val="00B27057"/>
    <w:rsid w:val="00B303A8"/>
    <w:rsid w:val="00B3097C"/>
    <w:rsid w:val="00B30AFB"/>
    <w:rsid w:val="00B30E23"/>
    <w:rsid w:val="00B31033"/>
    <w:rsid w:val="00B31944"/>
    <w:rsid w:val="00B31F79"/>
    <w:rsid w:val="00B32579"/>
    <w:rsid w:val="00B35CD0"/>
    <w:rsid w:val="00B36626"/>
    <w:rsid w:val="00B3666A"/>
    <w:rsid w:val="00B37DDA"/>
    <w:rsid w:val="00B37FC7"/>
    <w:rsid w:val="00B40067"/>
    <w:rsid w:val="00B42EE9"/>
    <w:rsid w:val="00B43C8B"/>
    <w:rsid w:val="00B46754"/>
    <w:rsid w:val="00B46A05"/>
    <w:rsid w:val="00B46FD7"/>
    <w:rsid w:val="00B51B05"/>
    <w:rsid w:val="00B51EFF"/>
    <w:rsid w:val="00B52B52"/>
    <w:rsid w:val="00B544EB"/>
    <w:rsid w:val="00B54A72"/>
    <w:rsid w:val="00B55C3C"/>
    <w:rsid w:val="00B607A7"/>
    <w:rsid w:val="00B60AC5"/>
    <w:rsid w:val="00B62933"/>
    <w:rsid w:val="00B62D96"/>
    <w:rsid w:val="00B63666"/>
    <w:rsid w:val="00B63807"/>
    <w:rsid w:val="00B6451A"/>
    <w:rsid w:val="00B64AA0"/>
    <w:rsid w:val="00B64E27"/>
    <w:rsid w:val="00B662F1"/>
    <w:rsid w:val="00B66388"/>
    <w:rsid w:val="00B67518"/>
    <w:rsid w:val="00B67721"/>
    <w:rsid w:val="00B723CA"/>
    <w:rsid w:val="00B72F28"/>
    <w:rsid w:val="00B735B3"/>
    <w:rsid w:val="00B73A17"/>
    <w:rsid w:val="00B75658"/>
    <w:rsid w:val="00B761EF"/>
    <w:rsid w:val="00B77577"/>
    <w:rsid w:val="00B77589"/>
    <w:rsid w:val="00B776D1"/>
    <w:rsid w:val="00B801BA"/>
    <w:rsid w:val="00B80BB2"/>
    <w:rsid w:val="00B817DF"/>
    <w:rsid w:val="00B826CD"/>
    <w:rsid w:val="00B828E9"/>
    <w:rsid w:val="00B82A43"/>
    <w:rsid w:val="00B82CCA"/>
    <w:rsid w:val="00B8378E"/>
    <w:rsid w:val="00B83AD4"/>
    <w:rsid w:val="00B83C9D"/>
    <w:rsid w:val="00B84FC2"/>
    <w:rsid w:val="00B855AC"/>
    <w:rsid w:val="00B85AC9"/>
    <w:rsid w:val="00B862D4"/>
    <w:rsid w:val="00B8659E"/>
    <w:rsid w:val="00B868FC"/>
    <w:rsid w:val="00B872D5"/>
    <w:rsid w:val="00B9185C"/>
    <w:rsid w:val="00B91B50"/>
    <w:rsid w:val="00B93CF7"/>
    <w:rsid w:val="00B9644B"/>
    <w:rsid w:val="00B977D2"/>
    <w:rsid w:val="00B97D14"/>
    <w:rsid w:val="00BA00E3"/>
    <w:rsid w:val="00BA0530"/>
    <w:rsid w:val="00BA076C"/>
    <w:rsid w:val="00BA1000"/>
    <w:rsid w:val="00BA1A8C"/>
    <w:rsid w:val="00BA61D0"/>
    <w:rsid w:val="00BA794B"/>
    <w:rsid w:val="00BA7DC3"/>
    <w:rsid w:val="00BB0027"/>
    <w:rsid w:val="00BB03C8"/>
    <w:rsid w:val="00BB062C"/>
    <w:rsid w:val="00BB3096"/>
    <w:rsid w:val="00BB4CBF"/>
    <w:rsid w:val="00BB6456"/>
    <w:rsid w:val="00BB78E9"/>
    <w:rsid w:val="00BB796F"/>
    <w:rsid w:val="00BB7DEF"/>
    <w:rsid w:val="00BB7F3E"/>
    <w:rsid w:val="00BC0620"/>
    <w:rsid w:val="00BC1429"/>
    <w:rsid w:val="00BC1503"/>
    <w:rsid w:val="00BC1CB4"/>
    <w:rsid w:val="00BC32F5"/>
    <w:rsid w:val="00BC3502"/>
    <w:rsid w:val="00BC41B0"/>
    <w:rsid w:val="00BC652B"/>
    <w:rsid w:val="00BC67A5"/>
    <w:rsid w:val="00BC6A06"/>
    <w:rsid w:val="00BD276E"/>
    <w:rsid w:val="00BD3208"/>
    <w:rsid w:val="00BD3CDB"/>
    <w:rsid w:val="00BD405F"/>
    <w:rsid w:val="00BD40EF"/>
    <w:rsid w:val="00BD5163"/>
    <w:rsid w:val="00BD5A8C"/>
    <w:rsid w:val="00BD68AE"/>
    <w:rsid w:val="00BD731E"/>
    <w:rsid w:val="00BD7D1F"/>
    <w:rsid w:val="00BD7EC1"/>
    <w:rsid w:val="00BE0A41"/>
    <w:rsid w:val="00BE2039"/>
    <w:rsid w:val="00BE2145"/>
    <w:rsid w:val="00BE2B83"/>
    <w:rsid w:val="00BE44C6"/>
    <w:rsid w:val="00BE4779"/>
    <w:rsid w:val="00BE5959"/>
    <w:rsid w:val="00BE5FD8"/>
    <w:rsid w:val="00BE603A"/>
    <w:rsid w:val="00BE6229"/>
    <w:rsid w:val="00BE6F9E"/>
    <w:rsid w:val="00BE70A3"/>
    <w:rsid w:val="00BF04C6"/>
    <w:rsid w:val="00BF26EF"/>
    <w:rsid w:val="00BF4188"/>
    <w:rsid w:val="00BF4CB2"/>
    <w:rsid w:val="00BF63F7"/>
    <w:rsid w:val="00BF7170"/>
    <w:rsid w:val="00C010DE"/>
    <w:rsid w:val="00C018B0"/>
    <w:rsid w:val="00C01CD0"/>
    <w:rsid w:val="00C024B4"/>
    <w:rsid w:val="00C02DE2"/>
    <w:rsid w:val="00C03F32"/>
    <w:rsid w:val="00C0460C"/>
    <w:rsid w:val="00C050F4"/>
    <w:rsid w:val="00C05BBF"/>
    <w:rsid w:val="00C107AC"/>
    <w:rsid w:val="00C108A2"/>
    <w:rsid w:val="00C116F7"/>
    <w:rsid w:val="00C11C92"/>
    <w:rsid w:val="00C1330D"/>
    <w:rsid w:val="00C14C1C"/>
    <w:rsid w:val="00C15D51"/>
    <w:rsid w:val="00C16961"/>
    <w:rsid w:val="00C16EE5"/>
    <w:rsid w:val="00C179D0"/>
    <w:rsid w:val="00C2035C"/>
    <w:rsid w:val="00C22FFB"/>
    <w:rsid w:val="00C2389E"/>
    <w:rsid w:val="00C23EDB"/>
    <w:rsid w:val="00C25C1E"/>
    <w:rsid w:val="00C26B1B"/>
    <w:rsid w:val="00C2763A"/>
    <w:rsid w:val="00C27971"/>
    <w:rsid w:val="00C27D42"/>
    <w:rsid w:val="00C3006B"/>
    <w:rsid w:val="00C357C1"/>
    <w:rsid w:val="00C36092"/>
    <w:rsid w:val="00C41709"/>
    <w:rsid w:val="00C41F66"/>
    <w:rsid w:val="00C420BA"/>
    <w:rsid w:val="00C427C4"/>
    <w:rsid w:val="00C42DCD"/>
    <w:rsid w:val="00C43D87"/>
    <w:rsid w:val="00C4462B"/>
    <w:rsid w:val="00C45BA3"/>
    <w:rsid w:val="00C46399"/>
    <w:rsid w:val="00C46636"/>
    <w:rsid w:val="00C46D16"/>
    <w:rsid w:val="00C47240"/>
    <w:rsid w:val="00C47BEE"/>
    <w:rsid w:val="00C501F1"/>
    <w:rsid w:val="00C5093F"/>
    <w:rsid w:val="00C509DF"/>
    <w:rsid w:val="00C51719"/>
    <w:rsid w:val="00C5206E"/>
    <w:rsid w:val="00C54219"/>
    <w:rsid w:val="00C54BF4"/>
    <w:rsid w:val="00C55221"/>
    <w:rsid w:val="00C55363"/>
    <w:rsid w:val="00C57CE2"/>
    <w:rsid w:val="00C60A38"/>
    <w:rsid w:val="00C616A8"/>
    <w:rsid w:val="00C61F94"/>
    <w:rsid w:val="00C6448A"/>
    <w:rsid w:val="00C64BF9"/>
    <w:rsid w:val="00C64DC9"/>
    <w:rsid w:val="00C6640A"/>
    <w:rsid w:val="00C6688B"/>
    <w:rsid w:val="00C67214"/>
    <w:rsid w:val="00C67D63"/>
    <w:rsid w:val="00C7045F"/>
    <w:rsid w:val="00C70470"/>
    <w:rsid w:val="00C7088B"/>
    <w:rsid w:val="00C70EEB"/>
    <w:rsid w:val="00C7241F"/>
    <w:rsid w:val="00C72F11"/>
    <w:rsid w:val="00C732D8"/>
    <w:rsid w:val="00C74DE1"/>
    <w:rsid w:val="00C75624"/>
    <w:rsid w:val="00C75AA8"/>
    <w:rsid w:val="00C7676E"/>
    <w:rsid w:val="00C76AAC"/>
    <w:rsid w:val="00C76B5E"/>
    <w:rsid w:val="00C7782B"/>
    <w:rsid w:val="00C8017A"/>
    <w:rsid w:val="00C80CE8"/>
    <w:rsid w:val="00C820AB"/>
    <w:rsid w:val="00C82FEA"/>
    <w:rsid w:val="00C84091"/>
    <w:rsid w:val="00C84666"/>
    <w:rsid w:val="00C85017"/>
    <w:rsid w:val="00C85B0E"/>
    <w:rsid w:val="00C86D3E"/>
    <w:rsid w:val="00C87163"/>
    <w:rsid w:val="00C87A27"/>
    <w:rsid w:val="00C87A50"/>
    <w:rsid w:val="00C91C36"/>
    <w:rsid w:val="00C942F3"/>
    <w:rsid w:val="00C95617"/>
    <w:rsid w:val="00C95AD6"/>
    <w:rsid w:val="00C966AB"/>
    <w:rsid w:val="00C97003"/>
    <w:rsid w:val="00C97056"/>
    <w:rsid w:val="00C976F6"/>
    <w:rsid w:val="00CA0699"/>
    <w:rsid w:val="00CA0788"/>
    <w:rsid w:val="00CA0ABA"/>
    <w:rsid w:val="00CA32B4"/>
    <w:rsid w:val="00CA3572"/>
    <w:rsid w:val="00CA4282"/>
    <w:rsid w:val="00CA4F96"/>
    <w:rsid w:val="00CA56C5"/>
    <w:rsid w:val="00CA5FB8"/>
    <w:rsid w:val="00CA6A72"/>
    <w:rsid w:val="00CA7281"/>
    <w:rsid w:val="00CA780A"/>
    <w:rsid w:val="00CB254C"/>
    <w:rsid w:val="00CB30B4"/>
    <w:rsid w:val="00CB310A"/>
    <w:rsid w:val="00CB3C56"/>
    <w:rsid w:val="00CB40AC"/>
    <w:rsid w:val="00CB4169"/>
    <w:rsid w:val="00CB4238"/>
    <w:rsid w:val="00CB6BD4"/>
    <w:rsid w:val="00CC13CA"/>
    <w:rsid w:val="00CC20D5"/>
    <w:rsid w:val="00CC2B99"/>
    <w:rsid w:val="00CC323C"/>
    <w:rsid w:val="00CC357D"/>
    <w:rsid w:val="00CC557B"/>
    <w:rsid w:val="00CC56E0"/>
    <w:rsid w:val="00CC6516"/>
    <w:rsid w:val="00CC77C5"/>
    <w:rsid w:val="00CC782B"/>
    <w:rsid w:val="00CD2C1F"/>
    <w:rsid w:val="00CD2E55"/>
    <w:rsid w:val="00CD3823"/>
    <w:rsid w:val="00CD450E"/>
    <w:rsid w:val="00CD4C5D"/>
    <w:rsid w:val="00CE36A3"/>
    <w:rsid w:val="00CE443C"/>
    <w:rsid w:val="00CE45B1"/>
    <w:rsid w:val="00CE496E"/>
    <w:rsid w:val="00CE5CA7"/>
    <w:rsid w:val="00CE6912"/>
    <w:rsid w:val="00CE6AFC"/>
    <w:rsid w:val="00CE76D4"/>
    <w:rsid w:val="00CE796B"/>
    <w:rsid w:val="00CF09E4"/>
    <w:rsid w:val="00CF1AC3"/>
    <w:rsid w:val="00CF20E2"/>
    <w:rsid w:val="00CF2EC7"/>
    <w:rsid w:val="00CF4ABD"/>
    <w:rsid w:val="00CF6224"/>
    <w:rsid w:val="00CF627D"/>
    <w:rsid w:val="00CF6C63"/>
    <w:rsid w:val="00CF76A4"/>
    <w:rsid w:val="00CF7B78"/>
    <w:rsid w:val="00CF7F95"/>
    <w:rsid w:val="00D00423"/>
    <w:rsid w:val="00D00B6A"/>
    <w:rsid w:val="00D01F24"/>
    <w:rsid w:val="00D03C14"/>
    <w:rsid w:val="00D04417"/>
    <w:rsid w:val="00D0535E"/>
    <w:rsid w:val="00D0539A"/>
    <w:rsid w:val="00D05452"/>
    <w:rsid w:val="00D05BE4"/>
    <w:rsid w:val="00D061E1"/>
    <w:rsid w:val="00D067CA"/>
    <w:rsid w:val="00D06A97"/>
    <w:rsid w:val="00D07DFF"/>
    <w:rsid w:val="00D115E8"/>
    <w:rsid w:val="00D13370"/>
    <w:rsid w:val="00D13698"/>
    <w:rsid w:val="00D1519A"/>
    <w:rsid w:val="00D1613B"/>
    <w:rsid w:val="00D16C98"/>
    <w:rsid w:val="00D17950"/>
    <w:rsid w:val="00D22C5D"/>
    <w:rsid w:val="00D2431B"/>
    <w:rsid w:val="00D249E7"/>
    <w:rsid w:val="00D25080"/>
    <w:rsid w:val="00D25950"/>
    <w:rsid w:val="00D26678"/>
    <w:rsid w:val="00D30979"/>
    <w:rsid w:val="00D3262D"/>
    <w:rsid w:val="00D32672"/>
    <w:rsid w:val="00D326CF"/>
    <w:rsid w:val="00D3302D"/>
    <w:rsid w:val="00D331A6"/>
    <w:rsid w:val="00D336F3"/>
    <w:rsid w:val="00D34AE4"/>
    <w:rsid w:val="00D34D20"/>
    <w:rsid w:val="00D36ABA"/>
    <w:rsid w:val="00D37252"/>
    <w:rsid w:val="00D405DA"/>
    <w:rsid w:val="00D41AF4"/>
    <w:rsid w:val="00D43EF4"/>
    <w:rsid w:val="00D442C5"/>
    <w:rsid w:val="00D44471"/>
    <w:rsid w:val="00D45209"/>
    <w:rsid w:val="00D45A1E"/>
    <w:rsid w:val="00D45F4C"/>
    <w:rsid w:val="00D46748"/>
    <w:rsid w:val="00D500C2"/>
    <w:rsid w:val="00D50755"/>
    <w:rsid w:val="00D521DE"/>
    <w:rsid w:val="00D52E06"/>
    <w:rsid w:val="00D53B0A"/>
    <w:rsid w:val="00D53C4D"/>
    <w:rsid w:val="00D53C94"/>
    <w:rsid w:val="00D54098"/>
    <w:rsid w:val="00D5566A"/>
    <w:rsid w:val="00D558BF"/>
    <w:rsid w:val="00D56C2A"/>
    <w:rsid w:val="00D570A7"/>
    <w:rsid w:val="00D600A5"/>
    <w:rsid w:val="00D603EB"/>
    <w:rsid w:val="00D60DF1"/>
    <w:rsid w:val="00D61C00"/>
    <w:rsid w:val="00D62566"/>
    <w:rsid w:val="00D63DDE"/>
    <w:rsid w:val="00D64417"/>
    <w:rsid w:val="00D64C8A"/>
    <w:rsid w:val="00D65970"/>
    <w:rsid w:val="00D66699"/>
    <w:rsid w:val="00D66EB3"/>
    <w:rsid w:val="00D67CB9"/>
    <w:rsid w:val="00D70FDC"/>
    <w:rsid w:val="00D720A8"/>
    <w:rsid w:val="00D74648"/>
    <w:rsid w:val="00D74935"/>
    <w:rsid w:val="00D74CC2"/>
    <w:rsid w:val="00D75A7C"/>
    <w:rsid w:val="00D75E0C"/>
    <w:rsid w:val="00D760B2"/>
    <w:rsid w:val="00D76386"/>
    <w:rsid w:val="00D76CFA"/>
    <w:rsid w:val="00D7742D"/>
    <w:rsid w:val="00D77784"/>
    <w:rsid w:val="00D7793F"/>
    <w:rsid w:val="00D80D04"/>
    <w:rsid w:val="00D81BEE"/>
    <w:rsid w:val="00D822FC"/>
    <w:rsid w:val="00D8347F"/>
    <w:rsid w:val="00D8625C"/>
    <w:rsid w:val="00D8699D"/>
    <w:rsid w:val="00D86A32"/>
    <w:rsid w:val="00D86B81"/>
    <w:rsid w:val="00D903C0"/>
    <w:rsid w:val="00D92407"/>
    <w:rsid w:val="00D93E1F"/>
    <w:rsid w:val="00D94893"/>
    <w:rsid w:val="00D9660B"/>
    <w:rsid w:val="00D971D9"/>
    <w:rsid w:val="00DA0271"/>
    <w:rsid w:val="00DA07AE"/>
    <w:rsid w:val="00DA143A"/>
    <w:rsid w:val="00DA332F"/>
    <w:rsid w:val="00DA3A0F"/>
    <w:rsid w:val="00DA3F06"/>
    <w:rsid w:val="00DA4295"/>
    <w:rsid w:val="00DA524F"/>
    <w:rsid w:val="00DA562F"/>
    <w:rsid w:val="00DA7D48"/>
    <w:rsid w:val="00DB06E6"/>
    <w:rsid w:val="00DB0E54"/>
    <w:rsid w:val="00DB0F2D"/>
    <w:rsid w:val="00DB0F46"/>
    <w:rsid w:val="00DB1CA4"/>
    <w:rsid w:val="00DB2467"/>
    <w:rsid w:val="00DB26F7"/>
    <w:rsid w:val="00DB4703"/>
    <w:rsid w:val="00DB7456"/>
    <w:rsid w:val="00DC04D3"/>
    <w:rsid w:val="00DC11D9"/>
    <w:rsid w:val="00DC126F"/>
    <w:rsid w:val="00DC18EE"/>
    <w:rsid w:val="00DC24CA"/>
    <w:rsid w:val="00DC2B42"/>
    <w:rsid w:val="00DC33A1"/>
    <w:rsid w:val="00DC3900"/>
    <w:rsid w:val="00DC46BD"/>
    <w:rsid w:val="00DC6A25"/>
    <w:rsid w:val="00DD0294"/>
    <w:rsid w:val="00DD1C53"/>
    <w:rsid w:val="00DD1D09"/>
    <w:rsid w:val="00DD3195"/>
    <w:rsid w:val="00DD6091"/>
    <w:rsid w:val="00DD6396"/>
    <w:rsid w:val="00DD6A70"/>
    <w:rsid w:val="00DE155A"/>
    <w:rsid w:val="00DE33F9"/>
    <w:rsid w:val="00DE3E90"/>
    <w:rsid w:val="00DE410D"/>
    <w:rsid w:val="00DE446E"/>
    <w:rsid w:val="00DE5DDF"/>
    <w:rsid w:val="00DE62E4"/>
    <w:rsid w:val="00DF05E4"/>
    <w:rsid w:val="00DF06F4"/>
    <w:rsid w:val="00DF0A90"/>
    <w:rsid w:val="00DF1817"/>
    <w:rsid w:val="00DF1AE3"/>
    <w:rsid w:val="00DF2205"/>
    <w:rsid w:val="00DF299C"/>
    <w:rsid w:val="00DF3A10"/>
    <w:rsid w:val="00DF5165"/>
    <w:rsid w:val="00DF5E0A"/>
    <w:rsid w:val="00DF6BF2"/>
    <w:rsid w:val="00DF7982"/>
    <w:rsid w:val="00E0221E"/>
    <w:rsid w:val="00E022B5"/>
    <w:rsid w:val="00E02CF2"/>
    <w:rsid w:val="00E030EE"/>
    <w:rsid w:val="00E03578"/>
    <w:rsid w:val="00E03AA8"/>
    <w:rsid w:val="00E042C8"/>
    <w:rsid w:val="00E06D5C"/>
    <w:rsid w:val="00E076D9"/>
    <w:rsid w:val="00E11CA9"/>
    <w:rsid w:val="00E11D21"/>
    <w:rsid w:val="00E12525"/>
    <w:rsid w:val="00E127AA"/>
    <w:rsid w:val="00E13470"/>
    <w:rsid w:val="00E1374F"/>
    <w:rsid w:val="00E13F34"/>
    <w:rsid w:val="00E1442C"/>
    <w:rsid w:val="00E14692"/>
    <w:rsid w:val="00E1561C"/>
    <w:rsid w:val="00E15E2E"/>
    <w:rsid w:val="00E16557"/>
    <w:rsid w:val="00E2028D"/>
    <w:rsid w:val="00E213E0"/>
    <w:rsid w:val="00E21740"/>
    <w:rsid w:val="00E24F92"/>
    <w:rsid w:val="00E250B3"/>
    <w:rsid w:val="00E26299"/>
    <w:rsid w:val="00E27840"/>
    <w:rsid w:val="00E27B20"/>
    <w:rsid w:val="00E27CE9"/>
    <w:rsid w:val="00E306A8"/>
    <w:rsid w:val="00E308CF"/>
    <w:rsid w:val="00E30CA7"/>
    <w:rsid w:val="00E30FA7"/>
    <w:rsid w:val="00E3257A"/>
    <w:rsid w:val="00E32B4D"/>
    <w:rsid w:val="00E36B74"/>
    <w:rsid w:val="00E402F2"/>
    <w:rsid w:val="00E4073A"/>
    <w:rsid w:val="00E40788"/>
    <w:rsid w:val="00E415C0"/>
    <w:rsid w:val="00E415C2"/>
    <w:rsid w:val="00E41BE4"/>
    <w:rsid w:val="00E4282D"/>
    <w:rsid w:val="00E42EE4"/>
    <w:rsid w:val="00E42FBD"/>
    <w:rsid w:val="00E43C4A"/>
    <w:rsid w:val="00E449A5"/>
    <w:rsid w:val="00E44FCC"/>
    <w:rsid w:val="00E46350"/>
    <w:rsid w:val="00E46665"/>
    <w:rsid w:val="00E47B73"/>
    <w:rsid w:val="00E502DB"/>
    <w:rsid w:val="00E50503"/>
    <w:rsid w:val="00E50B9E"/>
    <w:rsid w:val="00E51454"/>
    <w:rsid w:val="00E52E91"/>
    <w:rsid w:val="00E52F12"/>
    <w:rsid w:val="00E538D0"/>
    <w:rsid w:val="00E540F0"/>
    <w:rsid w:val="00E54EC1"/>
    <w:rsid w:val="00E54FE5"/>
    <w:rsid w:val="00E5509B"/>
    <w:rsid w:val="00E55D31"/>
    <w:rsid w:val="00E55E96"/>
    <w:rsid w:val="00E56174"/>
    <w:rsid w:val="00E56CE5"/>
    <w:rsid w:val="00E56EC0"/>
    <w:rsid w:val="00E57168"/>
    <w:rsid w:val="00E61800"/>
    <w:rsid w:val="00E629EC"/>
    <w:rsid w:val="00E63A7A"/>
    <w:rsid w:val="00E64415"/>
    <w:rsid w:val="00E64F17"/>
    <w:rsid w:val="00E65585"/>
    <w:rsid w:val="00E657EC"/>
    <w:rsid w:val="00E6633D"/>
    <w:rsid w:val="00E665D4"/>
    <w:rsid w:val="00E669B7"/>
    <w:rsid w:val="00E66A28"/>
    <w:rsid w:val="00E67EEA"/>
    <w:rsid w:val="00E7009B"/>
    <w:rsid w:val="00E70477"/>
    <w:rsid w:val="00E712DE"/>
    <w:rsid w:val="00E71809"/>
    <w:rsid w:val="00E71CD0"/>
    <w:rsid w:val="00E72EAE"/>
    <w:rsid w:val="00E7335A"/>
    <w:rsid w:val="00E73B9C"/>
    <w:rsid w:val="00E7488E"/>
    <w:rsid w:val="00E74D1C"/>
    <w:rsid w:val="00E756C2"/>
    <w:rsid w:val="00E75A28"/>
    <w:rsid w:val="00E7648C"/>
    <w:rsid w:val="00E76E57"/>
    <w:rsid w:val="00E7765C"/>
    <w:rsid w:val="00E81B2B"/>
    <w:rsid w:val="00E82950"/>
    <w:rsid w:val="00E82A7C"/>
    <w:rsid w:val="00E83DD1"/>
    <w:rsid w:val="00E845D9"/>
    <w:rsid w:val="00E85243"/>
    <w:rsid w:val="00E858E0"/>
    <w:rsid w:val="00E86696"/>
    <w:rsid w:val="00E87677"/>
    <w:rsid w:val="00E90D05"/>
    <w:rsid w:val="00E914E1"/>
    <w:rsid w:val="00E934A3"/>
    <w:rsid w:val="00E93AEC"/>
    <w:rsid w:val="00E94305"/>
    <w:rsid w:val="00E9499F"/>
    <w:rsid w:val="00E96AAF"/>
    <w:rsid w:val="00E97326"/>
    <w:rsid w:val="00EA09C1"/>
    <w:rsid w:val="00EA09E1"/>
    <w:rsid w:val="00EA31AF"/>
    <w:rsid w:val="00EA3626"/>
    <w:rsid w:val="00EA48AD"/>
    <w:rsid w:val="00EA5812"/>
    <w:rsid w:val="00EA5EC4"/>
    <w:rsid w:val="00EA6042"/>
    <w:rsid w:val="00EA69A8"/>
    <w:rsid w:val="00EA75BC"/>
    <w:rsid w:val="00EA76BD"/>
    <w:rsid w:val="00EB06FF"/>
    <w:rsid w:val="00EB0946"/>
    <w:rsid w:val="00EB177C"/>
    <w:rsid w:val="00EB271E"/>
    <w:rsid w:val="00EB3309"/>
    <w:rsid w:val="00EB3413"/>
    <w:rsid w:val="00EB39BC"/>
    <w:rsid w:val="00EB4274"/>
    <w:rsid w:val="00EB42A6"/>
    <w:rsid w:val="00EB4823"/>
    <w:rsid w:val="00EB494C"/>
    <w:rsid w:val="00EB5FB7"/>
    <w:rsid w:val="00EB6049"/>
    <w:rsid w:val="00EB7485"/>
    <w:rsid w:val="00EC04A4"/>
    <w:rsid w:val="00EC0627"/>
    <w:rsid w:val="00EC25DF"/>
    <w:rsid w:val="00EC5693"/>
    <w:rsid w:val="00ED0750"/>
    <w:rsid w:val="00ED27D7"/>
    <w:rsid w:val="00ED3753"/>
    <w:rsid w:val="00ED6B62"/>
    <w:rsid w:val="00ED788B"/>
    <w:rsid w:val="00EE2852"/>
    <w:rsid w:val="00EE3964"/>
    <w:rsid w:val="00EE4AD9"/>
    <w:rsid w:val="00EE75F0"/>
    <w:rsid w:val="00EF10FF"/>
    <w:rsid w:val="00EF15DF"/>
    <w:rsid w:val="00EF1909"/>
    <w:rsid w:val="00EF21FC"/>
    <w:rsid w:val="00EF2890"/>
    <w:rsid w:val="00EF2AAF"/>
    <w:rsid w:val="00EF31B2"/>
    <w:rsid w:val="00EF3413"/>
    <w:rsid w:val="00EF5B0A"/>
    <w:rsid w:val="00EF6758"/>
    <w:rsid w:val="00EF67E3"/>
    <w:rsid w:val="00EF72B9"/>
    <w:rsid w:val="00F00155"/>
    <w:rsid w:val="00F02F06"/>
    <w:rsid w:val="00F031B8"/>
    <w:rsid w:val="00F05B71"/>
    <w:rsid w:val="00F0635C"/>
    <w:rsid w:val="00F06D09"/>
    <w:rsid w:val="00F06E17"/>
    <w:rsid w:val="00F12EC0"/>
    <w:rsid w:val="00F13A5B"/>
    <w:rsid w:val="00F1417A"/>
    <w:rsid w:val="00F2015A"/>
    <w:rsid w:val="00F20A8D"/>
    <w:rsid w:val="00F21117"/>
    <w:rsid w:val="00F21174"/>
    <w:rsid w:val="00F22071"/>
    <w:rsid w:val="00F2255B"/>
    <w:rsid w:val="00F2290B"/>
    <w:rsid w:val="00F24919"/>
    <w:rsid w:val="00F24E37"/>
    <w:rsid w:val="00F24F9D"/>
    <w:rsid w:val="00F25CBA"/>
    <w:rsid w:val="00F25CF3"/>
    <w:rsid w:val="00F2783F"/>
    <w:rsid w:val="00F27F32"/>
    <w:rsid w:val="00F30C7C"/>
    <w:rsid w:val="00F316B5"/>
    <w:rsid w:val="00F322A1"/>
    <w:rsid w:val="00F33523"/>
    <w:rsid w:val="00F33558"/>
    <w:rsid w:val="00F344B3"/>
    <w:rsid w:val="00F352C3"/>
    <w:rsid w:val="00F36248"/>
    <w:rsid w:val="00F40B0E"/>
    <w:rsid w:val="00F40DFC"/>
    <w:rsid w:val="00F442A0"/>
    <w:rsid w:val="00F44C03"/>
    <w:rsid w:val="00F44CB4"/>
    <w:rsid w:val="00F456C1"/>
    <w:rsid w:val="00F46161"/>
    <w:rsid w:val="00F4661B"/>
    <w:rsid w:val="00F46765"/>
    <w:rsid w:val="00F46874"/>
    <w:rsid w:val="00F472AA"/>
    <w:rsid w:val="00F476D3"/>
    <w:rsid w:val="00F5014C"/>
    <w:rsid w:val="00F51C33"/>
    <w:rsid w:val="00F523C3"/>
    <w:rsid w:val="00F52648"/>
    <w:rsid w:val="00F526AF"/>
    <w:rsid w:val="00F5301B"/>
    <w:rsid w:val="00F538EC"/>
    <w:rsid w:val="00F54461"/>
    <w:rsid w:val="00F56D2D"/>
    <w:rsid w:val="00F5748C"/>
    <w:rsid w:val="00F57B6D"/>
    <w:rsid w:val="00F57EEB"/>
    <w:rsid w:val="00F60123"/>
    <w:rsid w:val="00F602EE"/>
    <w:rsid w:val="00F613B3"/>
    <w:rsid w:val="00F61823"/>
    <w:rsid w:val="00F61B33"/>
    <w:rsid w:val="00F61ED1"/>
    <w:rsid w:val="00F6226A"/>
    <w:rsid w:val="00F62A67"/>
    <w:rsid w:val="00F62B25"/>
    <w:rsid w:val="00F6358D"/>
    <w:rsid w:val="00F6405E"/>
    <w:rsid w:val="00F64CD3"/>
    <w:rsid w:val="00F70BF7"/>
    <w:rsid w:val="00F72761"/>
    <w:rsid w:val="00F7359C"/>
    <w:rsid w:val="00F73AF5"/>
    <w:rsid w:val="00F755D2"/>
    <w:rsid w:val="00F75A76"/>
    <w:rsid w:val="00F76879"/>
    <w:rsid w:val="00F773F2"/>
    <w:rsid w:val="00F77733"/>
    <w:rsid w:val="00F77DD1"/>
    <w:rsid w:val="00F818BE"/>
    <w:rsid w:val="00F81C4F"/>
    <w:rsid w:val="00F82A26"/>
    <w:rsid w:val="00F84033"/>
    <w:rsid w:val="00F84AFF"/>
    <w:rsid w:val="00F85721"/>
    <w:rsid w:val="00F8640E"/>
    <w:rsid w:val="00F86587"/>
    <w:rsid w:val="00F86F2D"/>
    <w:rsid w:val="00F90D88"/>
    <w:rsid w:val="00F923E3"/>
    <w:rsid w:val="00F92A55"/>
    <w:rsid w:val="00F93F7C"/>
    <w:rsid w:val="00F94151"/>
    <w:rsid w:val="00F9705A"/>
    <w:rsid w:val="00F973E7"/>
    <w:rsid w:val="00FA0105"/>
    <w:rsid w:val="00FA1637"/>
    <w:rsid w:val="00FA1702"/>
    <w:rsid w:val="00FA1A48"/>
    <w:rsid w:val="00FA224B"/>
    <w:rsid w:val="00FA3A83"/>
    <w:rsid w:val="00FA6FB1"/>
    <w:rsid w:val="00FA7A8C"/>
    <w:rsid w:val="00FA7AD7"/>
    <w:rsid w:val="00FA7EEB"/>
    <w:rsid w:val="00FB0FDA"/>
    <w:rsid w:val="00FB2F39"/>
    <w:rsid w:val="00FB306B"/>
    <w:rsid w:val="00FB380D"/>
    <w:rsid w:val="00FB5156"/>
    <w:rsid w:val="00FB53A5"/>
    <w:rsid w:val="00FB702C"/>
    <w:rsid w:val="00FC01A0"/>
    <w:rsid w:val="00FC1503"/>
    <w:rsid w:val="00FC1921"/>
    <w:rsid w:val="00FC1B7C"/>
    <w:rsid w:val="00FC35A9"/>
    <w:rsid w:val="00FC3CA7"/>
    <w:rsid w:val="00FC6D88"/>
    <w:rsid w:val="00FC70F6"/>
    <w:rsid w:val="00FC7196"/>
    <w:rsid w:val="00FC7453"/>
    <w:rsid w:val="00FD016B"/>
    <w:rsid w:val="00FD14AD"/>
    <w:rsid w:val="00FD1F9C"/>
    <w:rsid w:val="00FD1FAA"/>
    <w:rsid w:val="00FD2C37"/>
    <w:rsid w:val="00FD452A"/>
    <w:rsid w:val="00FD5353"/>
    <w:rsid w:val="00FD6223"/>
    <w:rsid w:val="00FD6D51"/>
    <w:rsid w:val="00FD7189"/>
    <w:rsid w:val="00FD7571"/>
    <w:rsid w:val="00FD76CE"/>
    <w:rsid w:val="00FE1FDF"/>
    <w:rsid w:val="00FE5573"/>
    <w:rsid w:val="00FE57F5"/>
    <w:rsid w:val="00FE59C3"/>
    <w:rsid w:val="00FE6149"/>
    <w:rsid w:val="00FE776C"/>
    <w:rsid w:val="00FE7D08"/>
    <w:rsid w:val="00FE7E21"/>
    <w:rsid w:val="00FF1BE3"/>
    <w:rsid w:val="00FF32D9"/>
    <w:rsid w:val="00FF382C"/>
    <w:rsid w:val="00FF481E"/>
    <w:rsid w:val="00FF7042"/>
    <w:rsid w:val="086E42E4"/>
    <w:rsid w:val="0DC7F569"/>
    <w:rsid w:val="1B731FF0"/>
    <w:rsid w:val="1DF8448A"/>
    <w:rsid w:val="1F3DE9D8"/>
    <w:rsid w:val="22D30D8E"/>
    <w:rsid w:val="237BBFCD"/>
    <w:rsid w:val="23984AFD"/>
    <w:rsid w:val="27B03333"/>
    <w:rsid w:val="3213DDBC"/>
    <w:rsid w:val="326916A9"/>
    <w:rsid w:val="4923CE6A"/>
    <w:rsid w:val="4D9DB6AA"/>
    <w:rsid w:val="5018668F"/>
    <w:rsid w:val="54903A50"/>
    <w:rsid w:val="54B85457"/>
    <w:rsid w:val="67864576"/>
    <w:rsid w:val="67FC6677"/>
    <w:rsid w:val="68D0F859"/>
    <w:rsid w:val="6C51298F"/>
    <w:rsid w:val="73B3A9EB"/>
    <w:rsid w:val="7A8E28D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C4308"/>
  <w15:chartTrackingRefBased/>
  <w15:docId w15:val="{50DCC012-AC13-417A-A80E-5BFD08B52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40E"/>
    <w:pPr>
      <w:spacing w:after="0" w:line="240" w:lineRule="auto"/>
    </w:pPr>
    <w:rPr>
      <w:rFonts w:ascii="Times New Roman" w:eastAsia="MS Mincho" w:hAnsi="Times New Roman" w:cs="Times New Roman"/>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7B36"/>
    <w:pPr>
      <w:tabs>
        <w:tab w:val="center" w:pos="4419"/>
        <w:tab w:val="right" w:pos="8838"/>
      </w:tabs>
    </w:pPr>
    <w:rPr>
      <w:rFonts w:asciiTheme="minorHAnsi" w:eastAsiaTheme="minorHAnsi" w:hAnsiTheme="minorHAnsi" w:cstheme="minorBidi"/>
      <w:kern w:val="2"/>
      <w:sz w:val="22"/>
      <w:szCs w:val="22"/>
      <w:lang w:val="es-CO" w:eastAsia="en-US"/>
      <w14:ligatures w14:val="standardContextual"/>
    </w:rPr>
  </w:style>
  <w:style w:type="character" w:customStyle="1" w:styleId="EncabezadoCar">
    <w:name w:val="Encabezado Car"/>
    <w:basedOn w:val="Fuentedeprrafopredeter"/>
    <w:link w:val="Encabezado"/>
    <w:rsid w:val="00757B36"/>
  </w:style>
  <w:style w:type="paragraph" w:styleId="Piedepgina">
    <w:name w:val="footer"/>
    <w:basedOn w:val="Normal"/>
    <w:link w:val="PiedepginaCar"/>
    <w:uiPriority w:val="99"/>
    <w:unhideWhenUsed/>
    <w:rsid w:val="00757B36"/>
    <w:pPr>
      <w:tabs>
        <w:tab w:val="center" w:pos="4419"/>
        <w:tab w:val="right" w:pos="8838"/>
      </w:tabs>
    </w:pPr>
    <w:rPr>
      <w:rFonts w:asciiTheme="minorHAnsi" w:eastAsiaTheme="minorHAnsi" w:hAnsiTheme="minorHAnsi" w:cstheme="minorBidi"/>
      <w:kern w:val="2"/>
      <w:sz w:val="22"/>
      <w:szCs w:val="22"/>
      <w:lang w:val="es-CO" w:eastAsia="en-US"/>
      <w14:ligatures w14:val="standardContextual"/>
    </w:rPr>
  </w:style>
  <w:style w:type="character" w:customStyle="1" w:styleId="PiedepginaCar">
    <w:name w:val="Pie de página Car"/>
    <w:basedOn w:val="Fuentedeprrafopredeter"/>
    <w:link w:val="Piedepgina"/>
    <w:uiPriority w:val="99"/>
    <w:rsid w:val="00757B36"/>
  </w:style>
  <w:style w:type="character" w:styleId="Hipervnculo">
    <w:name w:val="Hyperlink"/>
    <w:basedOn w:val="Fuentedeprrafopredeter"/>
    <w:uiPriority w:val="99"/>
    <w:unhideWhenUsed/>
    <w:rsid w:val="00757B36"/>
    <w:rPr>
      <w:color w:val="0563C1" w:themeColor="hyperlink"/>
      <w:u w:val="single"/>
    </w:rPr>
  </w:style>
  <w:style w:type="character" w:customStyle="1" w:styleId="Mencinsinresolver1">
    <w:name w:val="Mención sin resolver1"/>
    <w:basedOn w:val="Fuentedeprrafopredeter"/>
    <w:uiPriority w:val="99"/>
    <w:semiHidden/>
    <w:unhideWhenUsed/>
    <w:rsid w:val="00757B36"/>
    <w:rPr>
      <w:color w:val="605E5C"/>
      <w:shd w:val="clear" w:color="auto" w:fill="E1DFDD"/>
    </w:rPr>
  </w:style>
  <w:style w:type="paragraph" w:styleId="Prrafodelista">
    <w:name w:val="List Paragraph"/>
    <w:basedOn w:val="Normal"/>
    <w:uiPriority w:val="34"/>
    <w:qFormat/>
    <w:rsid w:val="00757B36"/>
    <w:pPr>
      <w:spacing w:after="160" w:line="259" w:lineRule="auto"/>
      <w:ind w:left="720"/>
      <w:contextualSpacing/>
    </w:pPr>
    <w:rPr>
      <w:rFonts w:asciiTheme="minorHAnsi" w:eastAsiaTheme="minorHAnsi" w:hAnsiTheme="minorHAnsi" w:cstheme="minorBidi"/>
      <w:kern w:val="2"/>
      <w:sz w:val="22"/>
      <w:szCs w:val="22"/>
      <w:lang w:val="es-CO" w:eastAsia="en-US"/>
      <w14:ligatures w14:val="standardContextual"/>
    </w:rPr>
  </w:style>
  <w:style w:type="table" w:styleId="Tablaconcuadrcula">
    <w:name w:val="Table Grid"/>
    <w:basedOn w:val="Tablanormal"/>
    <w:uiPriority w:val="39"/>
    <w:rsid w:val="008F0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rsid w:val="00F8640E"/>
    <w:pPr>
      <w:jc w:val="both"/>
    </w:pPr>
    <w:rPr>
      <w:rFonts w:ascii="Arial" w:eastAsia="Times New Roman" w:hAnsi="Arial"/>
      <w:b/>
      <w:sz w:val="22"/>
      <w:szCs w:val="20"/>
    </w:rPr>
  </w:style>
  <w:style w:type="character" w:customStyle="1" w:styleId="Textoindependiente3Car">
    <w:name w:val="Texto independiente 3 Car"/>
    <w:basedOn w:val="Fuentedeprrafopredeter"/>
    <w:link w:val="Textoindependiente3"/>
    <w:rsid w:val="00F8640E"/>
    <w:rPr>
      <w:rFonts w:ascii="Arial" w:eastAsia="Times New Roman" w:hAnsi="Arial" w:cs="Times New Roman"/>
      <w:b/>
      <w:kern w:val="0"/>
      <w:szCs w:val="20"/>
      <w:lang w:val="es-ES" w:eastAsia="es-ES"/>
      <w14:ligatures w14:val="none"/>
    </w:rPr>
  </w:style>
  <w:style w:type="paragraph" w:styleId="Textoindependiente">
    <w:name w:val="Body Text"/>
    <w:basedOn w:val="Normal"/>
    <w:link w:val="TextoindependienteCar"/>
    <w:uiPriority w:val="99"/>
    <w:semiHidden/>
    <w:unhideWhenUsed/>
    <w:rsid w:val="00E13F34"/>
    <w:pPr>
      <w:spacing w:after="120"/>
    </w:pPr>
  </w:style>
  <w:style w:type="character" w:customStyle="1" w:styleId="TextoindependienteCar">
    <w:name w:val="Texto independiente Car"/>
    <w:basedOn w:val="Fuentedeprrafopredeter"/>
    <w:link w:val="Textoindependiente"/>
    <w:uiPriority w:val="99"/>
    <w:semiHidden/>
    <w:rsid w:val="00E13F34"/>
    <w:rPr>
      <w:rFonts w:ascii="Times New Roman" w:eastAsia="MS Mincho" w:hAnsi="Times New Roman" w:cs="Times New Roman"/>
      <w:kern w:val="0"/>
      <w:sz w:val="24"/>
      <w:szCs w:val="24"/>
      <w:lang w:val="es-ES" w:eastAsia="es-ES"/>
      <w14:ligatures w14:val="none"/>
    </w:rPr>
  </w:style>
  <w:style w:type="paragraph" w:styleId="Revisin">
    <w:name w:val="Revision"/>
    <w:hidden/>
    <w:uiPriority w:val="99"/>
    <w:semiHidden/>
    <w:rsid w:val="005A1160"/>
    <w:pPr>
      <w:spacing w:after="0" w:line="240" w:lineRule="auto"/>
    </w:pPr>
    <w:rPr>
      <w:rFonts w:ascii="Times New Roman" w:eastAsia="MS Mincho" w:hAnsi="Times New Roman" w:cs="Times New Roman"/>
      <w:kern w:val="0"/>
      <w:sz w:val="24"/>
      <w:szCs w:val="24"/>
      <w:lang w:val="es-ES" w:eastAsia="es-ES"/>
      <w14:ligatures w14:val="none"/>
    </w:rPr>
  </w:style>
  <w:style w:type="character" w:styleId="Refdecomentario">
    <w:name w:val="annotation reference"/>
    <w:basedOn w:val="Fuentedeprrafopredeter"/>
    <w:uiPriority w:val="99"/>
    <w:semiHidden/>
    <w:unhideWhenUsed/>
    <w:rsid w:val="00CF627D"/>
    <w:rPr>
      <w:sz w:val="16"/>
      <w:szCs w:val="16"/>
    </w:rPr>
  </w:style>
  <w:style w:type="paragraph" w:styleId="Textocomentario">
    <w:name w:val="annotation text"/>
    <w:basedOn w:val="Normal"/>
    <w:link w:val="TextocomentarioCar"/>
    <w:uiPriority w:val="99"/>
    <w:unhideWhenUsed/>
    <w:rsid w:val="00CF627D"/>
    <w:pPr>
      <w:spacing w:after="160"/>
    </w:pPr>
    <w:rPr>
      <w:rFonts w:asciiTheme="minorHAnsi" w:eastAsiaTheme="minorHAnsi" w:hAnsiTheme="minorHAnsi" w:cstheme="minorBidi"/>
      <w:kern w:val="2"/>
      <w:sz w:val="20"/>
      <w:szCs w:val="20"/>
      <w:lang w:val="es-CO" w:eastAsia="en-US"/>
      <w14:ligatures w14:val="standardContextual"/>
    </w:rPr>
  </w:style>
  <w:style w:type="character" w:customStyle="1" w:styleId="TextocomentarioCar">
    <w:name w:val="Texto comentario Car"/>
    <w:basedOn w:val="Fuentedeprrafopredeter"/>
    <w:link w:val="Textocomentario"/>
    <w:uiPriority w:val="99"/>
    <w:rsid w:val="00CF627D"/>
    <w:rPr>
      <w:sz w:val="20"/>
      <w:szCs w:val="20"/>
    </w:rPr>
  </w:style>
  <w:style w:type="paragraph" w:styleId="NormalWeb">
    <w:name w:val="Normal (Web)"/>
    <w:basedOn w:val="Normal"/>
    <w:uiPriority w:val="99"/>
    <w:unhideWhenUsed/>
    <w:rsid w:val="00CF627D"/>
    <w:pPr>
      <w:spacing w:before="100" w:beforeAutospacing="1" w:after="100" w:afterAutospacing="1"/>
    </w:pPr>
    <w:rPr>
      <w:rFonts w:eastAsia="Times New Roman"/>
      <w:lang w:val="es-CO" w:eastAsia="es-CO"/>
    </w:rPr>
  </w:style>
  <w:style w:type="paragraph" w:styleId="Asuntodelcomentario">
    <w:name w:val="annotation subject"/>
    <w:basedOn w:val="Textocomentario"/>
    <w:next w:val="Textocomentario"/>
    <w:link w:val="AsuntodelcomentarioCar"/>
    <w:uiPriority w:val="99"/>
    <w:semiHidden/>
    <w:unhideWhenUsed/>
    <w:rsid w:val="002926FA"/>
    <w:pPr>
      <w:spacing w:after="0"/>
    </w:pPr>
    <w:rPr>
      <w:rFonts w:ascii="Times New Roman" w:eastAsia="MS Mincho" w:hAnsi="Times New Roman" w:cs="Times New Roman"/>
      <w:b/>
      <w:bCs/>
      <w:kern w:val="0"/>
      <w:lang w:val="es-ES" w:eastAsia="es-ES"/>
      <w14:ligatures w14:val="none"/>
    </w:rPr>
  </w:style>
  <w:style w:type="character" w:customStyle="1" w:styleId="AsuntodelcomentarioCar">
    <w:name w:val="Asunto del comentario Car"/>
    <w:basedOn w:val="TextocomentarioCar"/>
    <w:link w:val="Asuntodelcomentario"/>
    <w:uiPriority w:val="99"/>
    <w:semiHidden/>
    <w:rsid w:val="002926FA"/>
    <w:rPr>
      <w:rFonts w:ascii="Times New Roman" w:eastAsia="MS Mincho" w:hAnsi="Times New Roman" w:cs="Times New Roman"/>
      <w:b/>
      <w:bCs/>
      <w:kern w:val="0"/>
      <w:sz w:val="20"/>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69511">
      <w:bodyDiv w:val="1"/>
      <w:marLeft w:val="0"/>
      <w:marRight w:val="0"/>
      <w:marTop w:val="0"/>
      <w:marBottom w:val="0"/>
      <w:divBdr>
        <w:top w:val="none" w:sz="0" w:space="0" w:color="auto"/>
        <w:left w:val="none" w:sz="0" w:space="0" w:color="auto"/>
        <w:bottom w:val="none" w:sz="0" w:space="0" w:color="auto"/>
        <w:right w:val="none" w:sz="0" w:space="0" w:color="auto"/>
      </w:divBdr>
    </w:div>
    <w:div w:id="64643035">
      <w:bodyDiv w:val="1"/>
      <w:marLeft w:val="0"/>
      <w:marRight w:val="0"/>
      <w:marTop w:val="0"/>
      <w:marBottom w:val="0"/>
      <w:divBdr>
        <w:top w:val="none" w:sz="0" w:space="0" w:color="auto"/>
        <w:left w:val="none" w:sz="0" w:space="0" w:color="auto"/>
        <w:bottom w:val="none" w:sz="0" w:space="0" w:color="auto"/>
        <w:right w:val="none" w:sz="0" w:space="0" w:color="auto"/>
      </w:divBdr>
    </w:div>
    <w:div w:id="130252115">
      <w:bodyDiv w:val="1"/>
      <w:marLeft w:val="0"/>
      <w:marRight w:val="0"/>
      <w:marTop w:val="0"/>
      <w:marBottom w:val="0"/>
      <w:divBdr>
        <w:top w:val="none" w:sz="0" w:space="0" w:color="auto"/>
        <w:left w:val="none" w:sz="0" w:space="0" w:color="auto"/>
        <w:bottom w:val="none" w:sz="0" w:space="0" w:color="auto"/>
        <w:right w:val="none" w:sz="0" w:space="0" w:color="auto"/>
      </w:divBdr>
    </w:div>
    <w:div w:id="181675685">
      <w:bodyDiv w:val="1"/>
      <w:marLeft w:val="0"/>
      <w:marRight w:val="0"/>
      <w:marTop w:val="0"/>
      <w:marBottom w:val="0"/>
      <w:divBdr>
        <w:top w:val="none" w:sz="0" w:space="0" w:color="auto"/>
        <w:left w:val="none" w:sz="0" w:space="0" w:color="auto"/>
        <w:bottom w:val="none" w:sz="0" w:space="0" w:color="auto"/>
        <w:right w:val="none" w:sz="0" w:space="0" w:color="auto"/>
      </w:divBdr>
    </w:div>
    <w:div w:id="254675452">
      <w:bodyDiv w:val="1"/>
      <w:marLeft w:val="0"/>
      <w:marRight w:val="0"/>
      <w:marTop w:val="0"/>
      <w:marBottom w:val="0"/>
      <w:divBdr>
        <w:top w:val="none" w:sz="0" w:space="0" w:color="auto"/>
        <w:left w:val="none" w:sz="0" w:space="0" w:color="auto"/>
        <w:bottom w:val="none" w:sz="0" w:space="0" w:color="auto"/>
        <w:right w:val="none" w:sz="0" w:space="0" w:color="auto"/>
      </w:divBdr>
    </w:div>
    <w:div w:id="608004510">
      <w:bodyDiv w:val="1"/>
      <w:marLeft w:val="0"/>
      <w:marRight w:val="0"/>
      <w:marTop w:val="0"/>
      <w:marBottom w:val="0"/>
      <w:divBdr>
        <w:top w:val="none" w:sz="0" w:space="0" w:color="auto"/>
        <w:left w:val="none" w:sz="0" w:space="0" w:color="auto"/>
        <w:bottom w:val="none" w:sz="0" w:space="0" w:color="auto"/>
        <w:right w:val="none" w:sz="0" w:space="0" w:color="auto"/>
      </w:divBdr>
    </w:div>
    <w:div w:id="662395873">
      <w:bodyDiv w:val="1"/>
      <w:marLeft w:val="0"/>
      <w:marRight w:val="0"/>
      <w:marTop w:val="0"/>
      <w:marBottom w:val="0"/>
      <w:divBdr>
        <w:top w:val="none" w:sz="0" w:space="0" w:color="auto"/>
        <w:left w:val="none" w:sz="0" w:space="0" w:color="auto"/>
        <w:bottom w:val="none" w:sz="0" w:space="0" w:color="auto"/>
        <w:right w:val="none" w:sz="0" w:space="0" w:color="auto"/>
      </w:divBdr>
    </w:div>
    <w:div w:id="748230401">
      <w:bodyDiv w:val="1"/>
      <w:marLeft w:val="0"/>
      <w:marRight w:val="0"/>
      <w:marTop w:val="0"/>
      <w:marBottom w:val="0"/>
      <w:divBdr>
        <w:top w:val="none" w:sz="0" w:space="0" w:color="auto"/>
        <w:left w:val="none" w:sz="0" w:space="0" w:color="auto"/>
        <w:bottom w:val="none" w:sz="0" w:space="0" w:color="auto"/>
        <w:right w:val="none" w:sz="0" w:space="0" w:color="auto"/>
      </w:divBdr>
    </w:div>
    <w:div w:id="880749162">
      <w:bodyDiv w:val="1"/>
      <w:marLeft w:val="0"/>
      <w:marRight w:val="0"/>
      <w:marTop w:val="0"/>
      <w:marBottom w:val="0"/>
      <w:divBdr>
        <w:top w:val="none" w:sz="0" w:space="0" w:color="auto"/>
        <w:left w:val="none" w:sz="0" w:space="0" w:color="auto"/>
        <w:bottom w:val="none" w:sz="0" w:space="0" w:color="auto"/>
        <w:right w:val="none" w:sz="0" w:space="0" w:color="auto"/>
      </w:divBdr>
    </w:div>
    <w:div w:id="956376393">
      <w:bodyDiv w:val="1"/>
      <w:marLeft w:val="0"/>
      <w:marRight w:val="0"/>
      <w:marTop w:val="0"/>
      <w:marBottom w:val="0"/>
      <w:divBdr>
        <w:top w:val="none" w:sz="0" w:space="0" w:color="auto"/>
        <w:left w:val="none" w:sz="0" w:space="0" w:color="auto"/>
        <w:bottom w:val="none" w:sz="0" w:space="0" w:color="auto"/>
        <w:right w:val="none" w:sz="0" w:space="0" w:color="auto"/>
      </w:divBdr>
    </w:div>
    <w:div w:id="963344802">
      <w:bodyDiv w:val="1"/>
      <w:marLeft w:val="0"/>
      <w:marRight w:val="0"/>
      <w:marTop w:val="0"/>
      <w:marBottom w:val="0"/>
      <w:divBdr>
        <w:top w:val="none" w:sz="0" w:space="0" w:color="auto"/>
        <w:left w:val="none" w:sz="0" w:space="0" w:color="auto"/>
        <w:bottom w:val="none" w:sz="0" w:space="0" w:color="auto"/>
        <w:right w:val="none" w:sz="0" w:space="0" w:color="auto"/>
      </w:divBdr>
    </w:div>
    <w:div w:id="1014650387">
      <w:bodyDiv w:val="1"/>
      <w:marLeft w:val="0"/>
      <w:marRight w:val="0"/>
      <w:marTop w:val="0"/>
      <w:marBottom w:val="0"/>
      <w:divBdr>
        <w:top w:val="none" w:sz="0" w:space="0" w:color="auto"/>
        <w:left w:val="none" w:sz="0" w:space="0" w:color="auto"/>
        <w:bottom w:val="none" w:sz="0" w:space="0" w:color="auto"/>
        <w:right w:val="none" w:sz="0" w:space="0" w:color="auto"/>
      </w:divBdr>
    </w:div>
    <w:div w:id="1080102584">
      <w:bodyDiv w:val="1"/>
      <w:marLeft w:val="0"/>
      <w:marRight w:val="0"/>
      <w:marTop w:val="0"/>
      <w:marBottom w:val="0"/>
      <w:divBdr>
        <w:top w:val="none" w:sz="0" w:space="0" w:color="auto"/>
        <w:left w:val="none" w:sz="0" w:space="0" w:color="auto"/>
        <w:bottom w:val="none" w:sz="0" w:space="0" w:color="auto"/>
        <w:right w:val="none" w:sz="0" w:space="0" w:color="auto"/>
      </w:divBdr>
    </w:div>
    <w:div w:id="1151285728">
      <w:bodyDiv w:val="1"/>
      <w:marLeft w:val="0"/>
      <w:marRight w:val="0"/>
      <w:marTop w:val="0"/>
      <w:marBottom w:val="0"/>
      <w:divBdr>
        <w:top w:val="none" w:sz="0" w:space="0" w:color="auto"/>
        <w:left w:val="none" w:sz="0" w:space="0" w:color="auto"/>
        <w:bottom w:val="none" w:sz="0" w:space="0" w:color="auto"/>
        <w:right w:val="none" w:sz="0" w:space="0" w:color="auto"/>
      </w:divBdr>
    </w:div>
    <w:div w:id="1255824948">
      <w:bodyDiv w:val="1"/>
      <w:marLeft w:val="0"/>
      <w:marRight w:val="0"/>
      <w:marTop w:val="0"/>
      <w:marBottom w:val="0"/>
      <w:divBdr>
        <w:top w:val="none" w:sz="0" w:space="0" w:color="auto"/>
        <w:left w:val="none" w:sz="0" w:space="0" w:color="auto"/>
        <w:bottom w:val="none" w:sz="0" w:space="0" w:color="auto"/>
        <w:right w:val="none" w:sz="0" w:space="0" w:color="auto"/>
      </w:divBdr>
    </w:div>
    <w:div w:id="1329364666">
      <w:bodyDiv w:val="1"/>
      <w:marLeft w:val="0"/>
      <w:marRight w:val="0"/>
      <w:marTop w:val="0"/>
      <w:marBottom w:val="0"/>
      <w:divBdr>
        <w:top w:val="none" w:sz="0" w:space="0" w:color="auto"/>
        <w:left w:val="none" w:sz="0" w:space="0" w:color="auto"/>
        <w:bottom w:val="none" w:sz="0" w:space="0" w:color="auto"/>
        <w:right w:val="none" w:sz="0" w:space="0" w:color="auto"/>
      </w:divBdr>
    </w:div>
    <w:div w:id="212502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fd5fc06f4bc65d2ee817b2344bd6167c">
  <xsd:schema xmlns:xsd="http://www.w3.org/2001/XMLSchema" xmlns:xs="http://www.w3.org/2001/XMLSchema" xmlns:p="http://schemas.microsoft.com/office/2006/metadata/properties" xmlns:ns2="95a0a79e-7ff5-48b1-9982-9626409a05d1" targetNamespace="http://schemas.microsoft.com/office/2006/metadata/properties" ma:root="true" ma:fieldsID="d995a249519c9067e02d7bb0e3b42dd7"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6DFC0B-CEA2-4553-8277-E0E9053F7820}">
  <ds:schemaRefs>
    <ds:schemaRef ds:uri="http://schemas.microsoft.com/sharepoint/v3/contenttype/forms"/>
  </ds:schemaRefs>
</ds:datastoreItem>
</file>

<file path=customXml/itemProps2.xml><?xml version="1.0" encoding="utf-8"?>
<ds:datastoreItem xmlns:ds="http://schemas.openxmlformats.org/officeDocument/2006/customXml" ds:itemID="{9CB19735-B714-497C-8A12-D82900B1B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D4273C-3247-4797-9E5F-78C1C25CD9F4}">
  <ds:schemaRefs>
    <ds:schemaRef ds:uri="http://schemas.openxmlformats.org/officeDocument/2006/bibliography"/>
  </ds:schemaRefs>
</ds:datastoreItem>
</file>

<file path=customXml/itemProps4.xml><?xml version="1.0" encoding="utf-8"?>
<ds:datastoreItem xmlns:ds="http://schemas.openxmlformats.org/officeDocument/2006/customXml" ds:itemID="{53EFECED-C89D-4D58-9EA1-17AF7E912C7E}">
  <ds:schemaRefs>
    <ds:schemaRef ds:uri="http://schemas.openxmlformats.org/package/2006/metadata/core-properties"/>
    <ds:schemaRef ds:uri="http://schemas.microsoft.com/office/infopath/2007/PartnerControls"/>
    <ds:schemaRef ds:uri="95a0a79e-7ff5-48b1-9982-9626409a05d1"/>
    <ds:schemaRef ds:uri="http://schemas.microsoft.com/office/2006/documentManagement/types"/>
    <ds:schemaRef ds:uri="http://purl.org/dc/terms/"/>
    <ds:schemaRef ds:uri="http://schemas.microsoft.com/office/2006/metadata/properties"/>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33</Pages>
  <Words>8681</Words>
  <Characters>49488</Characters>
  <Application>Microsoft Office Word</Application>
  <DocSecurity>0</DocSecurity>
  <Lines>1413</Lines>
  <Paragraphs>469</Paragraphs>
  <ScaleCrop>false</ScaleCrop>
  <Company/>
  <LinksUpToDate>false</LinksUpToDate>
  <CharactersWithSpaces>57700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Sebastián Durán Méndez</dc:creator>
  <cp:keywords/>
  <dc:description/>
  <cp:lastModifiedBy>Santiago Guerrero Sabogal</cp:lastModifiedBy>
  <cp:revision>655</cp:revision>
  <cp:lastPrinted>2024-09-30T18:58:00Z</cp:lastPrinted>
  <dcterms:created xsi:type="dcterms:W3CDTF">2025-02-12T22:57:00Z</dcterms:created>
  <dcterms:modified xsi:type="dcterms:W3CDTF">2025-10-14T21:18:00Z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Order">
    <vt:r8>17300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docLang">
    <vt:lpwstr>es</vt:lpwstr>
  </property>
</Properties>
</file>